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GVGA (Bayern) — Pfändung von Gegenständen, deren Veräußerung unzulässig ist oder die dem Washingtoner Artenschutzübereinkommen unterliegen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Gegenstände, deren Veräußerung unzulässig ist, dürfen nicht gepfändet werden (zum Beispiel Lebensmittel, deren Verzehr die Gesundheit schädigen kann, – § 5 des Lebensmittel- und Futtermittelgesetzbuches (LFGB) – und Bildnisse, die nach § 22 des Gesetzes betreffend das Urheberrecht an Werken der bildenden Künste und der Photographie nicht verbreitet werden dürfen).</w:t>
      </w:r>
    </w:p>
    <w:p>
      <w:r>
        <w:t xml:space="preserve">(2) Bei der Zwangsvollstreckung, die lebende Tiere betrifft oder in Pflanzen sowie Teile und Erzeugnisse von Exemplaren besonders geschützter Arten (siehe die Anhänge I und II des Washingtoner Artenschutzübereinkommens vom 3. März 1973 – BGBl. II 1975, S. 777, 799 –, die Verordnung (EG) Nr. 338/97 des Rates vom 9. Dezember 1996 über den Schutz von Exemplaren wildlebender Tier- und Pflanzenarten durch Überwachung des Handels (ABl. L 61 vom 3.3.1997, S. 1, ber. ABl. L 100 vom 17.4.1997, S. 72, ber. ABl. L 298 vom 1.11.1997, S. 70) und die durch die Bundesartenschutzverordnung (BArtSchV) besonders unter Schutz gestellte Arten) bestehen häufig Vermarktungsverbote. Der Gerichtsvollzieher hat sich vor der Versteigerung im Zweifel mit der zuständigen Naturschutzbehörde in Verbindung zu setzen. Dies gilt bei Arten, die dem Washingtoner Artenschutzübereinkommen unterliegen (etwa exotischen Tieren und Pflanzen) insbesondere dann, wenn der Schuldner keine CITES-Bescheinigung vorweisen kann.</w:t>
      </w:r>
    </w:p>
    <w:p>
      <w:r>
        <w:rPr>
          <w:color w:val="555555"/>
          <w:sz w:val="17"/>
        </w:rPr>
        <w:t xml:space="preserve">Zitiervorschlag: § 76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