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GVGA (Bayern) — Allgemeines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nach dem Gesetz Pfändungsbeschränkungen bestehen, entscheidet der Gerichtsvollzieher selbständig, welche Sachen des Schuldners von der Pfändung auszuschließen sind. Sachen, deren Pfändbarkeit zweifelhaft ist, pfändet er, sofern sonstige Pfandstücke nicht in ausreichendem Maß vorhanden sind.</w:t>
      </w:r>
    </w:p>
    <w:p>
      <w:r>
        <w:t xml:space="preserve">(2) Hat der Gerichtsvollzieher eine Pfändung durchgeführt, so darf er sie nicht eigenmächtig wieder aufheben, auch wenn er sich von ihrer Unrechtmäßigkeit überzeugt hat. § 95 Absatz 4 bleibt unberührt. Die Pfändung ist auf Anweisung des Gläubigers, bei Verzicht des Gläubigers auf das Pfandrecht oder auf Anordnung des Vollstreckungsgerichts aufzuheben.</w:t>
      </w:r>
    </w:p>
    <w:p>
      <w:r>
        <w:rPr>
          <w:color w:val="555555"/>
          <w:sz w:val="17"/>
        </w:rPr>
        <w:t xml:space="preserve">Zitiervorschlag: § 72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