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GVGA (Bayern) — Allgemeine Vorschriften über die Beurkundung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Aufnahme von Protokollen und anderen Urkunden hat der Gerichtsvollzieher neben den für einzelne Urkunden getroffenen besonderen Vorschriften folgende allgemeine Regeln zu beachten:</w:t>
      </w:r>
    </w:p>
    <w:p>
      <w:r>
        <w:t xml:space="preserve">1. Jede Urkunde muss die Zeit und den Ort ihrer Abfassung enthalten und von dem Gerichtsvollzieher unter Beifügung seiner Amtseigenschaft und der Bezeichnung seines Amtssitzes unterschrieben werden. Zur Unterschriftleistung dürfen Faksimilestempel nicht verwendet werden.</w:t>
      </w:r>
    </w:p>
    <w:p>
      <w:r>
        <w:t xml:space="preserve">2. Die Urkunden sind vollständig, deutlich und klar abzufassen. In Vordrucken sind die zur Ausfüllung bestimmten Zwischenräume, soweit sie durch die erforderlichen Eintragungen nicht ausgefüllt werden, durch Füllstriche zu weiteren Eintragungen ungeeignet zu machen. Die Schrift muss haltbar sein; der Bleistift darf auch bei Abschriften nicht verwendet werden.</w:t>
      </w:r>
    </w:p>
    <w:p>
      <w:r>
        <w:t xml:space="preserve">3. In dem Protokoll über ein Geschäft, das nach der aufgewendeten Zeit vergütet wird, ist die Zeitdauer unter Beachtung der für die Berechnung der Kosten maßgebenden Grundsätze nach den einzelnen Zeitabschnitten genau anzugeben.</w:t>
      </w:r>
    </w:p>
    <w:p>
      <w:r>
        <w:t xml:space="preserve">4. Abschriften sind als solche zu bezeichnen. Die dem Gerichtsvollzieher obliegende Beglaubigung erfolgt durch den Vermerk „Beglaubigt“ unter Beifügung der Unterschrift und des Abdrucks des Dienststempels. Bei mehreren selbständigen Abschriften muss, sofern nicht jede Abschrift besonders beglaubigt wird, aus ihrer äußeren Aufeinanderfolge oder aus dem Beglaubigungsvermerk erkennbar sein, welche Abschriften die Beglaubigung umfasst. Die Beglaubigung darf erst erfolgen, nachdem sich der Gerichtsvollzieher davon überzeugt hat, dass die Abschrift mit der Urschrift wörtlich übereinstimmt.</w:t>
      </w:r>
    </w:p>
    <w:p>
      <w:r>
        <w:t xml:space="preserve">5. Auf den Urschriften und Abschriften der Urkunden hat der Gerichtsvollzieher eine Berechnung seiner Gebühren und Auslagen aufzustellen und die Geschäftsnummer anzugeben, die das beurkundete Geschäft bei ihm hat.</w:t>
      </w:r>
    </w:p>
    <w:p>
      <w:r>
        <w:t xml:space="preserve">6. Besteht eine Urkunde aus mehreren Bogen oder einzelnen Blättern, so sind diese zusammenzuheften oder sonst in geeigneter Weise zu verbinden.</w:t>
      </w:r>
    </w:p>
    <w:p>
      <w:r>
        <w:t xml:space="preserve">7. Radierungen sind untersagt. Nachträgliche Berichtigungen von Urkunden müssen in der Urkunde selbst oder – soweit dies nicht tunlich ist – in einer besonderen Anlage erfolgen. Sie müssen den Grund der Berichtigung erkennen lassen, sind mit Datum und Unterschrift zu versehen und nötigenfalls den Parteien zuzustellen.</w:t>
      </w:r>
    </w:p>
    <w:p>
      <w:r>
        <w:t xml:space="preserve">(2) Der Gerichtsvollzieher muss sich beständig vergegenwärtigen, dass die von ihm aufgenommenen Urkunden öffentlichen Glauben haben; er soll sie daher mit größter Sorgfalt abfassen. Die Urkunde muss dem tatsächlichen Hergang in jedem einzelnen Punkt entsprechen.</w:t>
      </w:r>
    </w:p>
    <w:p>
      <w:r>
        <w:rPr>
          <w:color w:val="555555"/>
          <w:sz w:val="17"/>
        </w:rPr>
        <w:t xml:space="preserve">Zitiervorschlag: § 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