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GVGA (Bayern) — Begriff der Geldforderung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Geldforderung ist jede Forderung, die auf Leistung einer bestimmten Wertgröße in Geld gerichtet ist. Geldforderungen im Sinne des Vollstreckungsrechts sind auch die Haftungsansprüche für Geldleistungen, zum Beispiel die Ansprüche im Fall der Verurteilung zur Duldung der Zwangsvollstreckung.</w:t>
      </w:r>
    </w:p>
    <w:p>
      <w:r>
        <w:t xml:space="preserve">(2) Sollen Stücke einer bestimmten Münzsorte oder bestimmte Wertzeichen geleistet werden (Geldsortenschuld), so erfolgt die Zwangsvollstreckung nach den Vorschriften über die Herausgabe beweglicher Sachen (§§ 884, 883 Absatz 1 ZPO).</w:t>
      </w:r>
    </w:p>
    <w:p>
      <w:r>
        <w:rPr>
          <w:color w:val="555555"/>
          <w:sz w:val="17"/>
        </w:rPr>
        <w:t xml:space="preserve">Zitiervorschlag: § 67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