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GVGA (Bayern)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Hat der Gerichtsvollzieher Schusswaffen, Munition oder diesen gleichstehende Gegenstände in Besitz genommen und will er sie dem Gläubiger oder einem Dritten übergeben, so prüft er, ob der Erwerb erlaubnis- oder anmeldepflichtig ist. Ist dies zweifelhaft, überlässt er die Gegenstände erst dann, wenn die zuständige Verwaltungsbehörde dies für unbedenklich erklärt hat.</w:t>
      </w:r>
    </w:p>
    <w:p>
      <w:r>
        <w:t xml:space="preserve">(2) Ist der Erwerb erlaubnis- oder anmeldepflichtig, so zeigt er die beabsichtigte Übergabe der zuständigen Verwaltungsbehörde unverzüglich an. In der Anzeige bezeichnet er:</w:t>
      </w:r>
    </w:p>
    <w:p>
      <w:r>
        <w:t xml:space="preserve">1. den früheren Inhaber und den Empfänger der Schusswaffe, der Munition oder des gleichstehenden Gegenstandes mit Namen und Anschrift,</w:t>
      </w:r>
    </w:p>
    <w:p>
      <w:r>
        <w:t xml:space="preserve">2. Art (gegebenenfalls Fabrikat und Nummer) und Kaliber der Waffe, der Munition oder des gleichstehenden Gegenstandes.</w:t>
      </w:r>
    </w:p>
    <w:p>
      <w:r>
        <w:t xml:space="preserve">Die Waffe, Munition oder die ihnen gleichstehenden Gegenstände händigt er erst einen Monat nach dieser Anzeige an den Gläubiger oder Dritten aus; hierauf weist er in der Anzeige hin.</w:t>
      </w:r>
    </w:p>
    <w:p>
      <w:r>
        <w:t xml:space="preserve">(3) Örtlich zuständig ist die Behörde, in deren Bezirk derjenige, dem der Gerichtsvollzieher den Gegenstand aushändigen will, seinen gewöhnlichen Aufenthalt oder bei Fehlen eines gewöhnlichen Aufenthalts seinen jeweiligen Aufenthalt hat.</w:t>
      </w:r>
    </w:p>
    <w:p>
      <w:r>
        <w:rPr>
          <w:color w:val="555555"/>
          <w:sz w:val="17"/>
        </w:rPr>
        <w:t xml:space="preserve">Zitiervorschlag: § 66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