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GVGA (Bayern) — Allgemeines</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der Zwangsvollstreckung wahrt der Gerichtsvollzieher neben dem Interesse des Gläubigers auch das des Schuldners, soweit dies ohne Gefährdung des Erfolgs der Zwangsvollstreckung geschehen kann. Er vermeidet jede unnötige Schädigung oder Ehrenkränkung des Schuldners und die Erregung überflüssigen Aufsehens. Er ist darauf bedacht, dass nur die unbedingt notwendigen Kosten und Aufwendungen entstehen.</w:t>
      </w:r>
    </w:p>
    <w:p>
      <w:r>
        <w:t xml:space="preserve">(2) Auf etwaige Wünsche des Gläubigers oder des Schuldners hinsichtlich der Ausführung der Zwangsvollstreckung nimmt der Gerichtsvollzieher Rücksicht, soweit es ohne überflüssige Kosten und Schwierigkeiten und ohne Beeinträchtigung des Zwecks der Vollstreckung geschehen kann.</w:t>
      </w:r>
    </w:p>
    <w:p>
      <w:r>
        <w:rPr>
          <w:color w:val="555555"/>
          <w:sz w:val="17"/>
        </w:rPr>
        <w:t xml:space="preserve">Zitiervorschlag: § 58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https://recht.nulegal.eu/gesetze/GVGA/58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