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GVGA (Bayern) — Zwangsvollstreckung in ein Vermögen, an dem ein Nießbrauch besteht (§§ 737, 738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dem Nießbrauch an einem Vermögen ist wegen der Verbindlichkeiten des Bestellers, die vor der Bestellung des Nießbrauchs entstanden sind, die Zwangsvollstreckung in die dem Nießbrauch unterliegenden Gegenstände ohne Rücksicht auf den Nießbrauch zulässig, wenn der Besteller zur Leistung und der Nießbraucher zur Duldung der Zwangsvollstreckung verurteilt ist. Dasselbe gilt bei dem Nießbrauch an einer Erbschaft für die Nachlassverbindlichkeiten (§ 737 ZPO). § 794 Absatz 2 ZPO ist zu berücksichtigen.</w:t>
      </w:r>
    </w:p>
    <w:p>
      <w:r>
        <w:t xml:space="preserve">(2) Ist der Nießbrauch an einem Vermögen oder an einer Erbschaft bestellt worden, nachdem die Schuld des Bestellers oder des Erblassers rechtskräftig festgestellt war, so muss der Schuldtitel zum Zweck der Zwangsvollstreckung in die dem Nießbrauch unterworfenen Gegenstände auch mit der Vollstreckungsklausel gegen den Nießbraucher versehen sein (§ 738 ZPO).</w:t>
      </w:r>
    </w:p>
    <w:p>
      <w:r>
        <w:rPr>
          <w:color w:val="555555"/>
          <w:sz w:val="17"/>
        </w:rPr>
        <w:t xml:space="preserve">Zitiervorschlag: § 57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