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GVGA (Bayern) — Zwangsvollstreckung in das Gesellschaftsvermögen einer Gesellschaft bürgerlichen Rechts (GbR) (§ 722 BGB, § 736 ZPO, § 45 EGZPO)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Zur Zwangsvollstreckung in das Gesellschaftsvermögen einer nach §§ 705 bis 739 BGB begründeten rechtsfähigen Gesellschaft bürgerlichen Rechts (GbR) ist ein Schuldtitel gegen die Gesellschaft erforderlich. Dies gilt nicht für die Zwangsvollstreckung aus einem vor dem 1. Januar 2024 erwirkten Schuldtitel gegen alle Gesellschafter. Aus einem Schuldtitel gegen die Gesellschaft findet die Zwangsvollstreckung in das Privatvermögen der Gesellschafter nicht statt.</w:t>
      </w:r>
    </w:p>
    <w:p>
      <w:r>
        <w:t xml:space="preserve">(2) Bei nachträglicher Eintragung einer rechtsfähigen GbR in das Gesellschaftsregister ist § 736 ZPO zu beachten.</w:t>
      </w:r>
    </w:p>
    <w:p>
      <w:r>
        <w:rPr>
          <w:color w:val="555555"/>
          <w:sz w:val="17"/>
        </w:rPr>
        <w:t xml:space="preserve">Zitiervorschlag: § 55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