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GVGA (Bayern) — Zwangsvollstreckung in das Vermögen eines nicht rechtsfähigen Vereins (§ 50 Absatz 2, §§ 735, 736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Zur Zwangsvollstreckung in das Vermögen eines nicht rechtsfähigen Vereins genügt ein Schuldtitel gegen den Verein, vertreten durch den Vorstand. Aus einem solchen Schuldtitel findet jedoch die Zwangsvollstreckung in das in Gewahrsam der Vereinsmitglieder befindliche Vereinsvermögen nur statt, soweit sie den Gewahrsam als Organ des Vereins haben.</w:t>
      </w:r>
    </w:p>
    <w:p>
      <w:r>
        <w:t xml:space="preserve">(2) Hat der Gläubiger wegen einer Vereinsschuld einen Schuldtitel gegen alle Vereinsmitglieder erwirkt, so erfolgt die Zwangsvollstreckung nach den Bestimmungen über die Vollstreckung gegen die Gesellschaft bürgerlichen Rechts (§ 55).</w:t>
      </w:r>
    </w:p>
    <w:p>
      <w:r>
        <w:rPr>
          <w:color w:val="555555"/>
          <w:sz w:val="17"/>
        </w:rPr>
        <w:t xml:space="preserve">Zitiervorschlag: § 54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