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GVGA (Bayern) — Vollstreckungsbeschränkungen im Außenwirtschaftsverkehr</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hat die Vollstreckungsbeschränkungen zu beachten, die sich für den Außenwirtschaftsverkehr aus dem Außenwirtschaftsgesetz (AWG) und der Außenwirtschaftsverordnung (AWV) ergeben. Außenwirtschaftsverkehr ist gemäß § 1 Absatz 1 Satz 1 AWG:</w:t>
      </w:r>
    </w:p>
    <w:p>
      <w:r>
        <w:t xml:space="preserve">1. der Güter-, Dienstleistungs-, Kapital-, Zahlungs- und sonstige Wirtschaftsverkehr mit dem Ausland,</w:t>
      </w:r>
    </w:p>
    <w:p>
      <w:r>
        <w:t xml:space="preserve">2. der Verkehr mit Auslandswerten und Gold zwischen Inländern.</w:t>
      </w:r>
    </w:p>
    <w:p>
      <w:r>
        <w:t xml:space="preserve">(2) Ist nach den in Absatz 1 Satz 1 genannten Vorschriften zur Leistung des Schuldners eine Genehmigung erforderlich, so ist die Zwangsvollstreckung nur zulässig, wenn und soweit diese Genehmigung erteilt ist. Soweit Vermögenswerte nur mit Genehmigung erworben oder veräußert werden dürfen, gilt dies auch für den Erwerb und die Veräußerung im Wege der Zwangsvollstreckung (§ 16 Absatz 2 Satz 2 AWG).</w:t>
      </w:r>
    </w:p>
    <w:p>
      <w:r>
        <w:t xml:space="preserve">(3) Eine Genehmigung ist nicht erforderlich für die Vollziehung von Arresten und einstweiligen Verfügungen, die lediglich der Sicherung des zugrunde liegenden Anspruchs dienen (§ 16 Absatz 1 Satz 3 AWG).</w:t>
      </w:r>
    </w:p>
    <w:p>
      <w:r>
        <w:t xml:space="preserve">(4) Der Gerichtsvollzieher braucht im Hinblick auf § 16 Absatz 1 Satz 1 und 2 AWG die Erteilung der Genehmigung vom Gläubiger vor der Vollstreckung nur nachweisen zu lassen, wenn vollstreckt werden soll</w:t>
      </w:r>
    </w:p>
    <w:p>
      <w:r>
        <w:t xml:space="preserve">1. aus einer gerichtlichen Entscheidung, die ohne Vollstreckungsklausel zur Zwangsvollstreckung geeignet ist (vergleiche § 35 Absatz 3 bis 5) und den Vorbehalt enthält, dass die Leistung oder Zwangsvollstreckung erst erfolgen darf, wenn die dazu erforderliche Genehmigung erteilt ist, oder</w:t>
      </w:r>
    </w:p>
    <w:p>
      <w:r>
        <w:t xml:space="preserve">2. aus einem Titel, der gemäß §§ 727 bis 729 ZPO auf einen Rechtsnachfolger des Gläubigers oder des Schuldners umgeschrieben ist, sofern der Rechtsnachfolger seinen Wohnsitz, seinen gewöhnlichen Aufenthalt, den Sitz oder den Ort der Leitung oder Verwaltung im Ausland (vergleiche Absatz 1 Satz 2 Nummer 1) hat.</w:t>
      </w:r>
    </w:p>
    <w:p>
      <w:r>
        <w:t xml:space="preserve">Hat der Gerichtsvollzieher begründete Zweifel, ob zur Zwangsvollstreckung eine Genehmigung nach den in Absatz 1 Satz 1 genannten Vorschriften erforderlich ist, so gibt er dem Gläubiger auf, eine solche Genehmigung oder eine Bescheinigung der Deutschen Bundesbank, der obersten Wirtschaftsbehörde des Landes oder der sonst zuständigen Stelle beizubringen, wonach gegen die Zwangsvollstreckung keine außenwirtschaftsrechtlichen Bedenken bestehen. Die Vorlage einer solchen Bescheinigung gibt der Gerichtsvollzieher dem Gläubiger auch dann auf, wenn dieser geltend macht, dass ein im Titel enthaltener Genehmigungsvorbehalt inzwischen gegenstandslos geworden sei.</w:t>
      </w:r>
    </w:p>
    <w:p>
      <w:r>
        <w:rPr>
          <w:color w:val="555555"/>
          <w:sz w:val="17"/>
        </w:rPr>
        <w:t xml:space="preserve">Zitiervorschlag: § 47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