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GVGA (Bayern) — Die zuzustellenden Urkunden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Schuldtitel muss dem Schuldner und den zur Duldung der Zwangsvollstreckung verurteilten Personen zugestellt sein. Dies gilt nicht in den Fällen des § 44 Absatz 3 und soweit in den §§ 126, 134 und 152 etwas anderes bestimmt ist. Die Vollstreckungsklausel braucht nur zugestellt zu werden, wenn</w:t>
      </w:r>
    </w:p>
    <w:p>
      <w:r>
        <w:t xml:space="preserve">1. sie für oder gegen einen Rechtsnachfolger oder für oder gegen eine andere als die ursprüngliche Partei erteilt worden ist (zum Beispiel Erben, Nacherben, Testamentsvollstrecker, Übernehmer eines Vermögens oder eines Handelsgeschäfts, Nießbraucher, Ehegatten, Abkömmlinge),</w:t>
      </w:r>
    </w:p>
    <w:p>
      <w:r>
        <w:t xml:space="preserve">2. es sich um ein Urteil handelt, dessen Vollstreckung von dem durch den Gläubiger zu beweisenden Eintritt einer anderen Tatsache als einer dem Gläubiger obliegenden Sicherheitsleistung abhängt, so dass die Vollstreckungsklausel erst erteilt werden konnte, nachdem dieser Nachweis geführt war (§ 726 Absatz 1 ZPO).</w:t>
      </w:r>
    </w:p>
    <w:p>
      <w:r>
        <w:t xml:space="preserve">(2) Ist die Vollstreckungsklausel in den in Absatz 1 bezeichneten Fällen auf Grund öffentlicher oder öffentlich beglaubigter Urkunden erteilt worden, so müssen außer der Vollstreckungsklausel auch diese Urkunden zugestellt werden (§ 750 Absatz 2 ZPO). Jedoch bedarf es keiner Zustellung der das Rechtsnachfolgeverhältnis beweisenden öffentlichen oder öffentlich beglaubigten Urkunden, wenn der Eigentümer eines Grundstücks sich in einer Urkunde nach § 794 Absatz 1 Nummer 5 ZPO wegen einer auf dem Grundstück lastenden Hypothek, Grundschuld oder Rentenschuld der sofortigen Zwangsvollstreckung unterworfen hat und der Rechtsnachfolger des Gläubigers, dem auf Grund der Rechtsnachfolge eine vollstreckbare Ausfertigung der Urkunde erteilt ist, im Grundbuch als Gläubiger eingetragen ist. Dasselbe gilt, wenn sich der Eigentümer wegen der Hypothek, Grundschuld oder Rentenschuld der sofortigen Zwangsvollstreckung in der Weise unterworfen hat, dass die Zwangsvollstreckung gegen den jeweiligen Eigentümer des Grundstücks zulässig sein soll, sofern die Unterwerfung im Grundbuch vermerkt ist und der Rechtsnachfolger, gegen den die Vollstreckungsklausel erteilt ist, im Grundbuch als Eigentümer eingetragen ist (§§ 799, 800 ZPO).</w:t>
      </w:r>
    </w:p>
    <w:p>
      <w:r>
        <w:t xml:space="preserve">(3) Hängt die Vollstreckung von einer Sicherheitsleistung des Gläubigers ab, so muss die öffentliche oder öffentlich beglaubigte Urkunde, aus der sich die Sicherheitsleistung ergibt, ebenfalls zugestellt werden (§ 751 Absatz 2 ZPO). Wird die Sicherheitsleistung durch Bankbürgschaft erbracht, ist dem Gegner das Original der Bürgschaftsurkunde zu übergeben.</w:t>
      </w:r>
    </w:p>
    <w:p>
      <w:r>
        <w:t xml:space="preserve">(4) Hat der Schuldner Zug um Zug gegen eine von dem Gläubiger zu bewirkende Gegenleistung zu erfüllen, so müssen auch die öffentlichen oder öffentlich beglaubigten Urkunden zugestellt werden, aus denen sich ergibt, dass der Schuldner wegen der Gegenleistung befriedigt oder dass er im Annahmeverzug ist. Dies gilt nicht, wenn der Gerichtsvollzieher die Gegenleistung selbst anbietet (§ 756 ZPO).</w:t>
      </w:r>
    </w:p>
    <w:p>
      <w:r>
        <w:rPr>
          <w:color w:val="555555"/>
          <w:sz w:val="17"/>
        </w:rPr>
        <w:t xml:space="preserve">Zitiervorschlag: § 45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