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GVGA (Bayern) — Allgemeines</w:t>
      </w:r>
    </w:p>
    <w:p>
      <w:r>
        <w:rPr>
          <w:color w:val="555555"/>
          <w:sz w:val="18"/>
        </w:rPr>
        <w:t xml:space="preserve">Geschäftsanweisung für Gerichtsvollzieher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Vor Beginn der Zwangsvollstreckung prüft der Gerichtsvollzieher, ob dem Schuldner sämtliche Urkunden zugestellt sind, welche die rechtliche Grundlage für die Zwangsvollstreckung bilden. Nötigenfalls stellt der Gerichtsvollzieher diese Urkunden selbst zu.</w:t>
      </w:r>
    </w:p>
    <w:p>
      <w:r>
        <w:t xml:space="preserve">(2) Die Zustellung auf Betreiben des Gläubigers ist entbehrlich, soweit die Urkunden zulässigerweise schon von Amts wegen zugestellt sind und die Zustellung dem Gerichtsvollzieher nachgewiesen wird.</w:t>
      </w:r>
    </w:p>
    <w:p>
      <w:r>
        <w:t xml:space="preserve">(3) Die Vollstreckung vor Zustellung der Entscheidung an den Verpflichteten ist zulässig, wenn das Familiengericht dies angeordnet hat:</w:t>
      </w:r>
    </w:p>
    <w:p>
      <w:r>
        <w:t xml:space="preserve">1. bei einstweiligen Anordnungen in Gewaltschutzsachen sowie in sonstigen Fällen, in denen hierfür ein besonderes Bedürfnis besteht (§ 53 Absatz 2 FamFG),</w:t>
      </w:r>
    </w:p>
    <w:p>
      <w:r>
        <w:t xml:space="preserve">2. bei Entscheidungen in Ehewohnungssachen nach § 200 Absatz 1 Nummer 1 FamFG (§ 209 Absatz 3 FamFG),</w:t>
      </w:r>
    </w:p>
    <w:p>
      <w:r>
        <w:t xml:space="preserve">3. bei Entscheidungen in Gewaltschutzsachen (§ 216 Absatz 2 FamFG).</w:t>
      </w:r>
    </w:p>
    <w:p>
      <w:r>
        <w:rPr>
          <w:color w:val="555555"/>
          <w:sz w:val="17"/>
        </w:rPr>
        <w:t xml:space="preserve">Zitiervorschlag: § 44 GVGA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https://recht.nulegal.eu/gesetze/GVGA/44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