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GVGA (Bayern) — Ausländische Schuldtitel, die keiner besonderen Anerkennung bedürfen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Schuldtitel nach den in § 1 Absatz 1 des Anerkennungs- und Vollstreckungsausführungsgesetzes (AVAG) genannten zwischenstaatlichen Verträgen und europarechtlichen Verordnungen oder §§ 36 folgende des Auslandsunterhaltsgesetzes (AUG) bedürfen keiner besonderen Anerkennung; sie sind nach der Erteilung der Vollstreckungsklausel aufgrund des Beschlusses des Vorsitzenden einer Kammer beim Landgericht oder des Familiengerichts zur Zwangsvollstreckung geeignet. Solange die Rechtsbehelfsfrist nach Zustellung der Entscheidung über die Zulassung der Zwangsvollstreckung noch nicht abgelaufen oder über einen Rechtsbehelf noch nicht entschieden ist, darf die Zwangsvollstreckung über Maßregeln der Sicherung nicht hinausgehen (§§ 18 folgende AVAG oder §§ 41, 49 folgende AUG). Gepfändetes Geld ist zu hinterlegen. Der Gläubiger kann die Zwangsvollstreckung ohne Einschränkung fortsetzen, wenn dem Gerichtsvollzieher ein Zeugnis des Urkundsbeamten der Geschäftsstelle vorgelegt wird, wonach die Zwangsvollstreckung unbeschränkt stattfinden darf (§§ 23 folgende AVAG oder §§ 53 folgende AUG).</w:t>
      </w:r>
    </w:p>
    <w:p>
      <w:r>
        <w:t xml:space="preserve">(2) Aus einem Titel, der in einem anderen Mitgliedstaat der Europäischen Union nach der Verordnung (EG) Nr. 805/2004 des Europäischen Parlaments und des Rates vom 21. April 2004 zur Einführung eines Europäischen Vollstreckungstitels für unbestrittene Forderungen (ABl. L 143 vom 30.4.2004, S. 15, ber. ABl. L 97 vom 15.4.2005, S. 64, ber. ABl. L 50 vom 23.2.2008, S. 71) bestätigt worden ist, findet die Zwangsvollstreckung statt, ohne dass es einer Vollstreckungsklausel bedarf (§ 1082 ZPO). Einer deutschen Übersetzung bedarf es nicht, wenn die Bestätigung ausschließlich aus dem nach der Verordnung zu verwendenden Formblatt besteht, welches ausgefüllt (nur durch die Eintragung von Namen, Zahlen und das Ankreuzen von Kästchen) und nicht mit weiteren Zusätzen versehen ist.</w:t>
      </w:r>
    </w:p>
    <w:p>
      <w:r>
        <w:t xml:space="preserve">(3) Aus für vollstreckbar erklärten Europäischen Zahlungsbefehlen nach der Verordnung (EG) Nr. 1896/2006 des Europäischen Parlaments und des Rates vom 12. Dezember 2006 zur Einführung eines Europäischen Mahnverfahrens (ABl. L 399 vom 30.12.2006, S. 1, ber. ABl. L 46 vom 21.2.2008, S. 52, ber. ABl. L 333 vom 11.12.2008, S. 17), findet die Zwangsvollstreckung statt (§ 794 Absatz 1 Nummer 6 ZPO), ohne dass es einer Vollstreckungsklausel bedarf (§ 1093 ZPO). Einer deutschen Übersetzung bedarf es nicht, wenn die Bestätigung ausschließlich aus dem nach der Verordnung zu verwendenden Formblatt besteht, welches ausgefüllt (nur durch die Eintragung von Namen, Zahlen und das Ankreuzen von Kästchen) und nicht mit weiteren Zusätzen versehen ist.</w:t>
      </w:r>
    </w:p>
    <w:p>
      <w:r>
        <w:t xml:space="preserve">(4) Aus einem Titel, der in einem Mitgliedsstaat der Europäischen Union nach der Verordnung (EG) Nr. 861/2007 des Europäischen Parlaments und des Rates vom 11. Juli 2007 zur Einführung eines europäischen Verfahrens für geringfügige Forderungen (ABl. L 199 vom 31.7.2007, S. 1) ergangen ist, findet die Zwangsvollstreckung im Inland statt, ohne dass es einer Vollstreckungsklausel bedarf (§ 1107 ZPO). Einer deutschen Übersetzung bedarf es nicht, wenn die Bestätigung ausschließlich aus dem nach der Verordnung zu verwendenden Formblatt besteht, welches ausgefüllt (nur durch die Eintragung von Namen, Zahlen und das Ankreuzen von Kästchen) und nicht mit weiteren Zusätzen versehen ist.</w:t>
      </w:r>
    </w:p>
    <w:p>
      <w:r>
        <w:t xml:space="preserve">(5) Aus Titeln eines anderen Mitgliedstaats der Europäischen Union, die nach der Verordnung (EG) Nr. 1215/2012 des Europäischen Parlaments und des Rates vom 12. Dezember 2012 über die gerichtliche Zuständigkeit und die Anerkennung der Vollstreckung von Entscheidungen in Zivil- und Handelssachen oder aus Unterhaltstiteln, die nach der Verordnung (EG) Nr. 4/2009 des Europäischen Parlaments und des Rates vom 18. Dezember 2008 zu vollstrecken sind, findet die Zwangsvollstreckung statt, ohne dass es einer Vollstreckungsklausel bedarf (§ 1112 ZPO, § 30 AUG). Der Antragsteller hat eine Ausfertigung der Entscheidung und eine – auf dem nach der Verordnung zu verwendenden Formblatt ausgestellte – Bescheinigung des Ursprungsgerichts vorzulegen. Die Bescheinigung enthält einen Auszug der Entscheidung. Der Gerichtsvollzieher darf vom Antragsteller eine Übersetzung nur verlangen, wenn er das Verfahren ohne eine solche Übersetzung nicht fortsetzen kann.</w:t>
      </w:r>
    </w:p>
    <w:p>
      <w:r>
        <w:rPr>
          <w:color w:val="555555"/>
          <w:sz w:val="17"/>
        </w:rPr>
        <w:t xml:space="preserve">Zitiervorschlag: § 40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