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GVGA (Bayern) — Schuldtitel nach dem Gesetz über das Verfahren in Familiensachen und in den Angelegenheiten der freiwilligen Gerichtsbarkeit (FamFG)</w:t>
      </w:r>
    </w:p>
    <w:p>
      <w:r>
        <w:rPr>
          <w:color w:val="555555"/>
          <w:sz w:val="18"/>
        </w:rPr>
        <w:t xml:space="preserve">Geschäftsanweisung für Gerichtsvollzieher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Familiensachen und Angelegenheiten der freiwilligen Gerichtsbarkeit, soweit es sich nicht um Ehesachen und Familienstreitsachen handelt, findet die Zwangsvollstreckung aus folgenden Titeln statt:</w:t>
      </w:r>
    </w:p>
    <w:p>
      <w:r>
        <w:t xml:space="preserve">1. Beschlüsse über Zwangsmittel nach § 35 FamFG;</w:t>
      </w:r>
    </w:p>
    <w:p>
      <w:r>
        <w:t xml:space="preserve">2. aus wirksamen gerichtlichen Beschlüssen nach § 86 Absatz 1 Nummer 1 FamFG (auch einstweilige Anordnungen);</w:t>
      </w:r>
    </w:p>
    <w:p>
      <w:r>
        <w:t xml:space="preserve">3. aus gerichtlich gebilligten Vergleichen nach § 86 Absatz 1 Nummer 2 FamFG;</w:t>
      </w:r>
    </w:p>
    <w:p>
      <w:r>
        <w:t xml:space="preserve">4. aus Vollstreckungstiteln im Sinne des § 794 ZPO nach § 86 Absatz 1 Nummer 3 FamFG (Vollstreckungstitel im Sinne des § 794 ZPO sind insbesondere Prozessvergleiche (§ 36 FamFG) und bestimmte notarielle Urkunden, soweit die Beteiligten über den Gegenstand des Verfahrens verfügen können);</w:t>
      </w:r>
    </w:p>
    <w:p>
      <w:r>
        <w:t xml:space="preserve">5. nach § 371 Absatz 2 FamFG aus rechtskräftig bestätigten Vereinbarungen über eine vorbereitende Maßnahme nach § 366 Absatz 1 FamFG und rechtskräftig bestätigten Auseinandersetzungen nach § 368 FamFG;</w:t>
      </w:r>
    </w:p>
    <w:p>
      <w:r>
        <w:t xml:space="preserve">6. aus rechtskräftig bestätigten Dispachen (§ 409 Absatz 2 FamFG).</w:t>
      </w:r>
    </w:p>
    <w:p>
      <w:r>
        <w:t xml:space="preserve">(2) In Familienstreitsachen findet die Zwangsvollstreckung aus wirksamen Beschlüssen (§ 120 Absatz 2 FamFG in Verbindung mit § 116 FamFG (auch einstweilige Anordnungen)) und Arresten (§ 119 FamFG) statt.</w:t>
      </w:r>
    </w:p>
    <w:p>
      <w:r>
        <w:rPr>
          <w:color w:val="555555"/>
          <w:sz w:val="17"/>
        </w:rPr>
        <w:t xml:space="preserve">Zitiervorschlag: § 37 GVGA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https://recht.nulegal.eu/gesetze/GVGA/37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