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GVGA (Bayern) — Schuldtitel nach der Zivilprozessordnung (ohne ausländische Schuldtitel)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Zwangsvollstreckung findet nach der ZPO insbesondere aus folgenden Schuldtiteln statt:</w:t>
      </w:r>
    </w:p>
    <w:p>
      <w:r>
        <w:t xml:space="preserve">1. aus Endurteilen und Vorbehaltsurteilen deutscher Gerichte, die rechtskräftig oder für vorläufig vollstreckbar erklärt sind (§§ 704, 300, 301, § 302 Absatz 3, § 599 Absatz 3 ZPO),</w:t>
      </w:r>
    </w:p>
    <w:p>
      <w:r>
        <w:t xml:space="preserve">2. aus Arresten und einstweiligen Verfügungen (§§ 922, 928, 936 ZPO),</w:t>
      </w:r>
    </w:p>
    <w:p>
      <w:r>
        <w:t xml:space="preserve">3. aus den in § 794 ZPO bezeichneten Entscheidungen und vollstreckbaren Urkunden.</w:t>
      </w:r>
    </w:p>
    <w:p>
      <w:r>
        <w:t xml:space="preserve">(2) Zu den im § 794 Absatz 1 Nummer 3 ZPO genannten Titeln gehören auch Entscheidungen, gegen welche die Beschwerde gegeben wäre, wenn sie von einem Gericht erster Instanz erlassen worden wären. Beispiele für beschwerdefähige Entscheidungen sind:</w:t>
      </w:r>
    </w:p>
    <w:p>
      <w:r>
        <w:t xml:space="preserve">1. die Anordnung der Rückgabe einer Sicherheit (§ 109 Absatz 2, § 715 ZPO),</w:t>
      </w:r>
    </w:p>
    <w:p>
      <w:r>
        <w:t xml:space="preserve">2. die Anordnung von Zwangsmaßnahmen nach den §§ 887 bis 891 ZPO,</w:t>
      </w:r>
    </w:p>
    <w:p>
      <w:r>
        <w:t xml:space="preserve">3. das Zwischenurteil nach § 135 ZPO.</w:t>
      </w:r>
    </w:p>
    <w:p>
      <w:r>
        <w:rPr>
          <w:color w:val="555555"/>
          <w:sz w:val="17"/>
        </w:rPr>
        <w:t xml:space="preserve">Zitiervorschlag: § 36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