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GVGA (Bayern) — Unterrichtung des Gläubigers</w:t>
      </w:r>
    </w:p>
    <w:p>
      <w:r>
        <w:rPr>
          <w:color w:val="555555"/>
          <w:sz w:val="18"/>
        </w:rPr>
        <w:t xml:space="preserve">Geschäftsanweisung für Gerichtsvollzieher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Gerichtsvollzieher unterrichtet den Gläubiger über die Erledigung des Auftrages zur Zwangsvollstreckung.</w:t>
      </w:r>
    </w:p>
    <w:p>
      <w:r>
        <w:rPr>
          <w:color w:val="555555"/>
          <w:sz w:val="17"/>
        </w:rPr>
        <w:t xml:space="preserve">Zitiervorschlag: § 34 GVGA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https://recht.nulegal.eu/gesetze/GVGA/34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