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GVGA (Bayern) — Zuständigkeit des Gerichtsvollziehers</w:t>
      </w:r>
    </w:p>
    <w:p>
      <w:r>
        <w:rPr>
          <w:color w:val="555555"/>
          <w:sz w:val="18"/>
        </w:rPr>
        <w:t xml:space="preserve">Geschäftsanweisung für Gerichtsvollzieher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Gerichtsvollzieher führt die Zwangsvollstreckung durch, soweit sie nicht den Gerichten zugewiesen ist. Zum Aufgabenbereich des Gerichtsvollziehers gehören:</w:t>
      </w:r>
    </w:p>
    <w:p>
      <w:r>
        <w:t xml:space="preserve">1. die Zwangsvollstreckung wegen Geldforderungen in bewegliche körperliche Sachen einschließlich der Wertpapiere und der noch nicht vom Boden getrennten Früchte (§§ 802a, 803 bis 827 ZPO);</w:t>
      </w:r>
    </w:p>
    <w:p>
      <w:r>
        <w:t xml:space="preserve">2. die Pfändung von Forderungen aus Wechseln und anderen Papieren, die durch Indossament übertragen werden können, durch Wegnahme dieser Papiere (§ 831 ZPO);</w:t>
      </w:r>
    </w:p>
    <w:p>
      <w:r>
        <w:t xml:space="preserve">3. die Zwangsvollstreckung zur Erwirkung der Herausgabe von beweglichen Sachen sowie zur Erwirkung der Herausgabe, Überlassung und Räumung von unbeweglichen Sachen und eingetragenen Schiffen und Schiffsbauwerken (§§ 883 bis 885 ZPO);</w:t>
      </w:r>
    </w:p>
    <w:p>
      <w:r>
        <w:t xml:space="preserve">4. die Zwangsvollstreckung zur Beseitigung des Widerstandes des Schuldners gegen Handlungen, die er nach den §§ 887 und 890 ZPO zu dulden hat (§ 892 ZPO); oder zur Beseitigung von Zuwiderhandlungen des Schuldners gegen eine Unterlassungsverpflichtung aus einer Anordnung nach § 1 GewSchG (§ 96 FamFG);</w:t>
      </w:r>
    </w:p>
    <w:p>
      <w:r>
        <w:t xml:space="preserve">5. die Zwangsvollstreckung durch Abnahme der Vermögensauskunft und Haft (§§ 802c bis 802j ZPO);</w:t>
      </w:r>
    </w:p>
    <w:p>
      <w:r>
        <w:t xml:space="preserve">6. die Vollziehung von Arrestbefehlen und einstweiligen Verfügungen in dem Umfang, in dem die Zwangsvollstreckung dem Gerichtsvollzieher zusteht (§§ 916 bis 945 ZPO);</w:t>
      </w:r>
    </w:p>
    <w:p>
      <w:r>
        <w:t xml:space="preserve">7. die gütliche Erledigung durch Zahlungsvereinbarung (§ 802b ZPO);</w:t>
      </w:r>
    </w:p>
    <w:p>
      <w:r>
        <w:t xml:space="preserve">8. die auf Antrag (§ 755 ZPO) oder von Amts wegen (§ 882c Absatz 3 ZPO) durchzuführenden Aufenthaltsermittlungen sowie die Einholung von Drittstellenauskünften (§ 802l ZPO);</w:t>
      </w:r>
    </w:p>
    <w:p>
      <w:r>
        <w:t xml:space="preserve">9. die Erwirkung der Auskunft nach § 836 Absatz 3, § 883 Absatz 2 ZPO oder § 94 FamFG durch Abnahme der eidesstattlichen Versicherung und Haft;</w:t>
      </w:r>
    </w:p>
    <w:p>
      <w:r>
        <w:t xml:space="preserve">10. die Anordnung der Eintragung des Schuldners in das Schuldnerverzeichnis gemäß § 882c ZPO in Verbindung mit der Schuldnerverzeichnisführungsverordnung (SchuFV).</w:t>
      </w:r>
    </w:p>
    <w:p>
      <w:r>
        <w:t xml:space="preserve">(2) Außerdem hat der Gerichtsvollzieher mitzuwirken:</w:t>
      </w:r>
    </w:p>
    <w:p>
      <w:r>
        <w:t xml:space="preserve">1. bei der Zwangsvollstreckung in Forderungen (siehe §§ 121 bis 126);</w:t>
      </w:r>
    </w:p>
    <w:p>
      <w:r>
        <w:t xml:space="preserve">2. in bestimmten Einzelfällen bei der Zwangsvollstreckung in das unbewegliche Vermögen (vergleiche zum Beispiel §§ 57b, 65, 93, 94 Absatz 2, § 150 Absatz 2, §§ 165, 171, 171c Absatz 2 und 3 sowie § 171h des Gesetzes über die Zwangsversteigerung und die Zwangsverwaltung (ZVG));</w:t>
      </w:r>
    </w:p>
    <w:p>
      <w:r>
        <w:t xml:space="preserve">3. soweit weitere gesetzliche Vorschriften dies vorschreiben (vergleiche zum Beispiel § 372a Absatz 2, § 380 Absatz 2, § 390 Absatz 2 ZPO, § 25 Absatz 4 des Straßenverkehrsgesetzes (StVG), § 98 Absatz 2, § 153 Absatz 2 Satz 2 InsO, § 284 Absatz 8, § 315 Absatz 2 Satz 4 der Abgabenordnung (AO)).</w:t>
      </w:r>
    </w:p>
    <w:p>
      <w:r>
        <w:rPr>
          <w:color w:val="555555"/>
          <w:sz w:val="17"/>
        </w:rPr>
        <w:t xml:space="preserve">Zitiervorschlag: § 30 GVGA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https://recht.nulegal.eu/gesetze/GVGA/30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