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GVGA (Bayern) — Zustellungen in Straf- und Bußgeldsachen (§ 38 StPO)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 an einem Strafverfahren oder einem Bußgeldverfahren Beteiligten nach den gesetzlichen Vorschriften befugt sind, Zeugen und Sachverständige unmittelbar zu laden, erfolgt dies durch Zustellung einer von dem Auftraggeber unterschriebenen Ladungsschrift. Die Vorschriften über Zustellung auf Betreiben der Parteien in bürgerlichen Rechtsstreitigkeiten sind entsprechend anzuwenden.</w:t>
      </w:r>
    </w:p>
    <w:p>
      <w:r>
        <w:t xml:space="preserve">(2) Der unmittelbar geladene Zeuge oder Sachverständige ist nur zum Erscheinen verpflichtet, wenn ihm bei der Ladung die gesetzliche Entschädigung für Reisekosten und Versäumnis bar dargeboten oder wenn ihm nachgewiesen wird, dass die Entschädigung bei der zuständigen Stelle (zum Beispiel Kasse oder Zahlstelle) hinterlegt ist (§ 220 Absatz 2 der Strafprozessordnung (StPO)). Der Gerichtsvollzieher hat daher auf Verlangen des Auftraggebers</w:t>
      </w:r>
    </w:p>
    <w:p>
      <w:r>
        <w:t xml:space="preserve">1. der geladenen Person die Entschädigung bei der Zustellung gegen Quittung zu übergeben, wenn ihm der Auftraggeber den Betrag in bar ausgehändigt hat, oder</w:t>
      </w:r>
    </w:p>
    <w:p>
      <w:r>
        <w:t xml:space="preserve">2. die Bescheinigung der zuständigen Stelle (zum Beispiel Kasse oder Zahlstelle) über die Hinterlegung mit zuzustellen, wenn der Auftraggeber den Betrag hinterlegt hat.</w:t>
      </w:r>
    </w:p>
    <w:p>
      <w:r>
        <w:t xml:space="preserve">Der Gerichtsvollzieher übermittelt dem Auftraggeber mit der Zustellungsurkunde die Quittung des Empfängers. Hat der Empfänger die Entschädigung zurückgewiesen, so gibt der Gerichtsvollzieher dem Auftraggeber den Betrag mit der Zustellungsurkunde wieder zurück.</w:t>
      </w:r>
    </w:p>
    <w:p>
      <w:r>
        <w:t xml:space="preserve">(3) Auf der Zustellungsurkunde oder einem Nachtrag zu ihr muss der Gerichtsvollzieher ersichtlich machen:</w:t>
      </w:r>
    </w:p>
    <w:p>
      <w:r>
        <w:t xml:space="preserve">1. das Anbieten der Entschädigung,</w:t>
      </w:r>
    </w:p>
    <w:p>
      <w:r>
        <w:t xml:space="preserve">2. ihre Auszahlung oder Zurückweisung; im Fall der Zurückweisung ist der Grund zu vermerken, den der Empfänger hierfür angegeben hat,</w:t>
      </w:r>
    </w:p>
    <w:p>
      <w:r>
        <w:t xml:space="preserve">3. die Mitzustellung der Bescheinigung der zuständigen Stelle (zum Beispiel Kasse oder Zahlstelle), wenn der Auftraggeber den Betrag hinterlegt hat.</w:t>
      </w:r>
    </w:p>
    <w:p>
      <w:r>
        <w:t xml:space="preserve">(4) Der Gerichtsvollzieher führt die Zustellung auch dann aus, wenn ihm der Auftraggeber die Entschädigung weder zur Auszahlung übergeben noch sie hinterlegt hat. In diesem Fall darf aber die Ladung keinen Hinweis auf die gesetzlichen Folgen des Ausbleibens enthalten. Dieser Sachverhalt ist in der Zustellungsurkunde ersichtlich zu machen; bei einer Zustellung durch die Post geschieht dies neben dem Vermerk, der auf das zu übergebende Schriftstück gesetzt wird.</w:t>
      </w:r>
    </w:p>
    <w:p>
      <w:r>
        <w:rPr>
          <w:color w:val="555555"/>
          <w:sz w:val="17"/>
        </w:rPr>
        <w:t xml:space="preserve">Zitiervorschlag: § 28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