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GVGA (Bayern) — Zustellung von Anwalt zu Anwalt</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kann beauftragt werden, die Zustellung des Schriftstücks eines Rechtsanwalts oder Kammerrechtsbeistands (§ 16 Absatz 3 Satz 3) an den Gegenanwalt oder an dessen allgemeinen Vertreter oder Zustellungsbevollmächtigten nach § 195 ZPO zu vermitteln. Ein solcher Auftrag liegt in der Bestimmung, dass die Zustellung „von Anwalt zu Anwalt“ erfolgen solle.</w:t>
      </w:r>
    </w:p>
    <w:p>
      <w:r>
        <w:t xml:space="preserve">(2) Der Gerichtsvollzieher holt in diesem Fall lediglich ein mit Datum und Unterschrift zu versehendes Empfangsbekenntnis des Zustellungsadressaten ein und übermittelt es dem Auftraggeber. Der zustellende Anwalt hat dem anderen Anwalt auf Verlangen eine Bescheinigung über die Zustellung zu erteilen. Diese Bescheinigung hat der Gerichtsvollzieher dem anderen Anwalt, wenn er sie verlangt, Zug um Zug gegen Aushändigung des Empfangsbekenntnisses zu übergeben. Der Gerichtsvollzieher soll daher Aufträge zu derartigen Zustellungen in der Regel nur übernehmen, wenn ihm zugleich von dem zustellenden Anwalt eine Bescheinigung über die Zustellung – in der das Datum zur Ausfüllung durch den Gerichtsvollzieher offen gelassen sein kann – ausgehändigt wird. Eine Beurkundung des Vorgangs durch den Gerichtsvollzieher findet nicht statt. Eine Ersatzzustellung oder eine Niederlegung ist ausgeschlossen.</w:t>
      </w:r>
    </w:p>
    <w:p>
      <w:r>
        <w:t xml:space="preserve">(3) Das schriftliche Empfangsbekenntnis kann auf die Urschrift des zuzustellenden Schriftstücks, die Bescheinigung auf die zu übergebende Abschrift gesetzt werden. Werden die Bescheinigungen besonders ausgestellt, so müssen sie das zugestellte Schriftstück genau bezeichnen.</w:t>
      </w:r>
    </w:p>
    <w:p>
      <w:r>
        <w:t xml:space="preserve">(4) Wird die Ausstellung des Empfangsbekenntnisses verweigert oder ist es wegen Abwesenheit des Gegenanwalts oder aus einem sonstigen Grund nicht zu erlangen, so nimmt der Gerichtsvollzieher die Zustellung unter Aufnahme der gewöhnlichen Zustellungsurkunde nach den allgemeinen Vorschriften vor, soweit nicht der Auftraggeber für diesen Fall etwas anderes bestimmt hat.</w:t>
      </w:r>
    </w:p>
    <w:p>
      <w:r>
        <w:rPr>
          <w:color w:val="555555"/>
          <w:sz w:val="17"/>
        </w:rPr>
        <w:t xml:space="preserve">Zitiervorschlag: § 27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