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GVGA (Bayern) — Zustellungsnachweis (§§ 193, 182, § 193a Absatz 2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nimmt über jede von ihm bewirkte Zustellung eines Schriftstücks am Zustellungsort eine Urkunde auf, die den Bestimmungen des § 193 Absatz 2 und § 182 ZPO entsprechen muss. Als Nachweis der Zustellung eines elektronischen Dokuments dient die automatisierte Eingangsbestätigung (§ 193a Absatz 2 Satz 1 ZPO).</w:t>
      </w:r>
    </w:p>
    <w:p>
      <w:r>
        <w:t xml:space="preserve">(2) Hat der Auftraggeber die genaue Angabe der Zeit der Zustellung verlangt oder erscheint diese Angabe nach dem Ermessen des Gerichtsvollziehers im Einzelfall von Bedeutung, so ist die Zeit in der Zustellungsurkunde auch nach Stunden und Minuten zu bezeichnen. Dies gilt zum Beispiel bei der Zustellung eines Pfändungsbeschlusses an den Drittschuldner, bei der Benachrichtigung des Drittschuldners nach § 845 ZPO sowie dann, wenn durch die Zustellung eine nach Stunden berechnete Frist in Lauf gesetzt wird.</w:t>
      </w:r>
    </w:p>
    <w:p>
      <w:r>
        <w:t xml:space="preserve">(3) Die Zustellungsurkunde ist auf die Urschrift des zuzustellenden Schriftstücks oder auf einen damit zu verbindenden Vordruck nach Anlage 1 der Zustellungsvordruckverordnung zu setzen. Auf der Zustellungsurkunde vermerkt der Gerichtsvollzieher die Person, in deren Auftrag er zugestellt hat. Hat der Auftraggeber dem Gerichtsvollzieher das zuzustellende Dokument elektronisch auf einem sicheren Übermittlungsweg übermittelt, verbindet der Gerichtsvollzieher die automatisierte Eingangsbestätigung mit dem zuzustellenden elektronischen Dokument und übermittelt diese anschließend dem Auftraggeber. Hierzu kann der Gerichtsvollzieher aus automatisierter Eingangsbestätigung und zuzustellendem Dokument ein neues, einheitliches elektronisches Dokument herstellen.</w:t>
      </w:r>
    </w:p>
    <w:p>
      <w:r>
        <w:t xml:space="preserve">(4) Eine durch den Gerichtsvollzieher beglaubigte Abschrift der Zustellungsurkunde ist auf das bei der Zustellung zu übergebende Schriftstück oder auf einen mit ihm zu verbindenden Bogen zu setzen. Die Übergabe einer Abschrift der Zustellungsurkunde kann dadurch ersetzt werden, dass der Gerichtsvollzieher den Tag der Zustellung auf dem zu übergebenden Schriftstück vermerkt. Jedoch soll der Gerichtsvollzieher von dieser Möglichkeit keinen Gebrauch machen, wenn der Zustellungsadressat ein anzuerkennendes Interesse daran hat, die Wirksamkeit der Zustellung anhand einer Zustellungsurkunde nachzuprüfen.</w:t>
      </w:r>
    </w:p>
    <w:p>
      <w:r>
        <w:t xml:space="preserve">(5) Ist die Zustellungsurkunde auf einem Vordruck oder die für den Empfänger beglaubigte Abschrift auf einem besonderen Bogen geschrieben, so ist besonders darauf zu achten, dass die herzustellende Verbindung mit dem Schriftstück haltbar ist. Auf der Urkunde ist in diesem Fall auch die Geschäftsnummer anzugeben, die das zuzustellende Schriftstück trägt.</w:t>
      </w:r>
    </w:p>
    <w:p>
      <w:r>
        <w:t xml:space="preserve">(6) Die Zustellungsurkunde ist der Partei, für welche die Zustellung erfolgt, unverzüglich zu übergeben oder zu übersenden. War der Auftrag von mehreren Personen erteilt, so übermittelt der Gerichtsvollzieher beim Fehlen einer besonderen Anweisung die Urkunde an eine von ihnen, die er nach seinem Ermessen auswählt. Hatte die Geschäftsstelle den Auftrag vermittelt, so übermittelt der Gerichtsvollzieher die Zustellungsurkunde unmittelbar dem Auftraggeber, der die Vermittlung der Geschäftsstelle in Anspruch genommen hatte.</w:t>
      </w:r>
    </w:p>
    <w:p>
      <w:r>
        <w:rPr>
          <w:color w:val="555555"/>
          <w:sz w:val="17"/>
        </w:rPr>
        <w:t xml:space="preserve">Zitiervorschlag: § 24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