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GVGA (Bayern) — Zustellung durch Niederlegung (§ 181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 übergebende Schriftstück ist auf der Geschäftsstelle des Amtsgerichts niederzulegen, in dessen Bezirk der Ort der Zustellung liegt. Ist bei dem Amtsgericht ein Eildienst für Entscheidungen außerhalb der gewöhnlichen Geschäftszeiten eingerichtet, kann die Niederlegung und Abholung des Schriftstücks auch bei diesem erfolgen.</w:t>
      </w:r>
    </w:p>
    <w:p>
      <w:r>
        <w:t xml:space="preserve">(2) Der Gerichtsvollzieher teilt dem Adressaten die Niederlegung schriftlich mit. Die Mitteilung erfolgt auf dem Vordruck nach Anlage 4 der Zustellungsvordruckverordnung (ZustVV) unter der Anschrift des Zustellungsadressaten durch Abgabe in der bei gewöhnlichen Briefen üblichen Weise, zum Beispiel durch Einwerfen in den Briefkasten oder in den Briefeinwurf an der Wohnungstür oder der Tür des Geschäftsraumes. Ist die Abgabe der Mitteilung ausnahmsweise auf diese Weise nicht durchführbar, so heftet der Gerichtsvollzieher die Mitteilung an die Tür der Wohnung, des Geschäftsraums oder der Gemeinschaftseinrichtung an. Dabei hat der Gerichtsvollzieher zu prüfen, ob die Anheftung der Mitteilung an die Zimmertür in einer Gemeinschaftseinrichtung, insbesondere bei Einrichtungen wie Unterkünften für Asylbewerber, im Hinblick auf die Sicherheit des Zugangs der Mitteilung tunlich ist. In der Mitteilung ist anzugeben, wo das Schriftstück niedergelegt ist, ferner ist zu vermerken, dass das Schriftstück mit der Abgabe dieser schriftlichen Mitteilung als zugestellt gilt. Auf der Zustellungsurkunde (§ 24) ist zu vermerken, wie die Mitteilung über die Niederlegung abgegeben wurde.</w:t>
      </w:r>
    </w:p>
    <w:p>
      <w:r>
        <w:rPr>
          <w:color w:val="555555"/>
          <w:sz w:val="17"/>
        </w:rPr>
        <w:t xml:space="preserve">Zitiervorschlag: § 23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