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 GVGA (Bayern) — Bekanntmachung der Versteigerung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Art der Bekanntmachung bestimmt der Auftraggeber. Unterlässt dieser die Bestimmung, so verfährt der Gerichtsvollzieher nach § 93 Absatz 3.</w:t>
      </w:r>
    </w:p>
    <w:p>
      <w:r>
        <w:t xml:space="preserve">(2) Neben den allgemeinen Bestimmungen über die Bekanntmachung nach § 93 Absatz 3 muss die Bekanntmachung die Bezeichnung als freiwillige Versteigerung und den Anlass der Versteigerung enthalten. Eine freiwillige Versteigerung darf nicht in Verbindung mit einer Versteigerung anderer Art bekanntgemacht werden.</w:t>
      </w:r>
    </w:p>
    <w:p>
      <w:r>
        <w:t xml:space="preserve">(3) Der Auftraggeber ist von der Zeit und dem Ort der Versteigerung rechtzeitig zu benachrichtigen, falls er nicht selbst die Zeit und den Ort der Versteigerung bestimmt hat.</w:t>
      </w:r>
    </w:p>
    <w:p>
      <w:r>
        <w:rPr>
          <w:color w:val="555555"/>
          <w:sz w:val="17"/>
        </w:rPr>
        <w:t xml:space="preserve">Zitiervorschlag: § 193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