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187 GVGA (Bayern)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Vorschriften über den Pfandverkauf finden auch Anwendung auf eine Versteigerung,</w:t>
      </w:r>
    </w:p>
    <w:p>
      <w:r>
        <w:t xml:space="preserve">1. die zwecks Auseinandersetzung unter den Teilhabern einer Gemeinschaft (§ 753 BGB), unter den Mitgliedern einer Gesellschaft (§ 731 BGB in Verbindung mit § 753 BGB), unter Ehegatten bei Auflösung der Gütergemeinschaft (§ 1477 BGB), unter den Beteiligten bei Aufhebung der fortgesetzten Gütergemeinschaft (§ 1498 BGB) oder unter Miterben (§ 2042 in Verbindung mit § 753 BGB) vorgenommen wird,</w:t>
      </w:r>
    </w:p>
    <w:p>
      <w:r>
        <w:t xml:space="preserve">2. die der Besitzer einer beweglichen Sache veranlasst, um sich wegen seiner Verwendungen aus der Sache zu befriedigen (§§ 1003, 2022 BGB).</w:t>
      </w:r>
    </w:p>
    <w:p>
      <w:r>
        <w:t xml:space="preserve">(2) Steht einem Kaufmann ein Zurückbehaltungsrecht auf Grund des § 369 HGB zu, so darf er sich aus den zurückbehaltenen Gegenständen für seine Forderungen im Wege des Pfandverkaufs befriedigen, vorausgesetzt, dass er einen vollstreckbaren Titel über sein Recht zur Befriedigung aus den Gegenständen besitzt (§ 371 Absatz 3 HGB). Bei einem Pfandverkauf, der auf Grund eines kaufmännischen Zurückbehaltungsrechts oder auf Grund eines Pfandrechts vorgenommen wird, dessen Bestellung auf Seiten des Pfandgläubigers und des Verpfänders ein Handelsgeschäft war, verkürzt sich die in § 181 Absatz 3 genannte Frist auf eine Woche. Dies gilt entsprechend auch für das gesetzliche Pfandrecht des Kommissionärs, des Spediteurs, des Lagerhalters und des Frachtführers, für das Pfandrecht des Spediteurs und des Frachtführers auch dann, wenn der Speditions- oder Frachtvertrag nur auf ihrer Seite ein Handelsgeschäft ist (§ 368 HGB). Bei einem Pfandverkauf im Auftrag eines Frachtführers oder Verfrachters sind die Androhung und die Benachrichtigung an den Empfänger des Gutes zu richten; ist dieser nicht zu ermitteln oder verweigert er die Annahme des Gutes, so hat die Androhung und Benachrichtigung gegenüber dem Absender zu erfolgen (§ 440 HGB). Der Kommissionär kann auch solches Kommissionsgut, dessen Eigentümer er ist, im Wege des Pfandverkaufs veräußern lassen; der Verkauf erfolgt dann für Rechnung des Kommittenten (§ 398 HGB).</w:t>
      </w:r>
    </w:p>
    <w:p>
      <w:r>
        <w:rPr>
          <w:color w:val="555555"/>
          <w:sz w:val="17"/>
        </w:rPr>
        <w:t xml:space="preserve">Zitiervorschlag: § 187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https://recht.nulegal.eu/gesetze/GVGA/187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