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186 GVGA (Bayern)</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Der Gerichtsvollzieher führt den Erlös der Versteigerung oder des freihändigen Verkaufs nach Abzug der Gerichtsvollzieherkosten unverzüglich an den Auftraggeber ab. Dies gilt auch dann, wenn der Erlös den Betrag der Forderung und der Kosten übersteigt, es sei denn, dass der Gläubiger den Gerichtsvollzieher beauftragt hat, den Überschuss an den Eigentümer des Pfandes abzuführen oder für diesen zu hinterlegen. In gleicher Weise ist mit Gegenständen zu verfahren, die gemäß § 183 Absatz 6 nicht versteigert worden sind.</w:t>
      </w:r>
    </w:p>
    <w:p>
      <w:r>
        <w:t xml:space="preserve">(2) Die Benachrichtigung des Eigentümers über das Ergebnis des Pfandverkaufs ist dem Pfandgläubiger zu überlassen (§ 1241 BGB).</w:t>
      </w:r>
    </w:p>
    <w:p>
      <w:r>
        <w:rPr>
          <w:color w:val="555555"/>
          <w:sz w:val="17"/>
        </w:rPr>
        <w:t xml:space="preserve">Zitiervorschlag: § 186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https://recht.nulegal.eu/gesetze/GVGA/186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