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185 GVGA (Bayern)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freihändiger Verkauf findet statt:</w:t>
      </w:r>
    </w:p>
    <w:p>
      <w:r>
        <w:t xml:space="preserve">1. bei Wertpapieren, Waren und anderen Pfändern, die einen Börsen- oder Marktpreis haben (§ 1235 Absatz 2, § 1295 BGB),</w:t>
      </w:r>
    </w:p>
    <w:p>
      <w:r>
        <w:t xml:space="preserve">2. bei Gold- und Silbersachen, deren Versteigerung fruchtlos versucht worden ist (§ 1240 Absatz 2 BGB),</w:t>
      </w:r>
    </w:p>
    <w:p>
      <w:r>
        <w:t xml:space="preserve">3. auf Anordnung des Gerichts (§ 1246 Absatz 2 BGB, § 411 Absatz 4 FamFG).</w:t>
      </w:r>
    </w:p>
    <w:p>
      <w:r>
        <w:t xml:space="preserve">Der Verkauf ist unter entsprechender Anwendung der Vorschriften der §§ 98 und 99 durchzuführen. Die Bestimmungen über das Mindestgebot (vergleiche § 98) gelten jedoch nicht. Beim Verkauf ist die Sache als Pfand zu bezeichnen. Die in Satz 1 Nummer 1 genannten Sachen sind nur zum laufenden Preis, die in Satz 1 Nummer 2 genannten Sachen nur zu einem den Gold- und Silberwert erreichenden Preis zu verkaufen. Unter dem laufenden Preis ist der Börsen- oder Marktpreis zu verstehen, der am Tage des Verkaufs für den Verkaufsort gilt. Der Pfandgläubiger kann solche Pfandgegenstände, die einen Börsen- oder Marktpreis haben, statt durch freihändigen Verkauf auch durch Versteigerung veräußern lassen, sofern es sich nicht um die im § 1295 BGB bezeichneten indossablen Papiere handelt.</w:t>
      </w:r>
    </w:p>
    <w:p>
      <w:r>
        <w:rPr>
          <w:color w:val="555555"/>
          <w:sz w:val="17"/>
        </w:rPr>
        <w:t xml:space="preserve">Zitiervorschlag: § 185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