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183 GVGA (Bayern) — Versteigerungstermin</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Vor dem Beginn des Versteigerungstermins sind die zu versteigernden Sachen bereitzustellen und mit dem Verzeichnis zu vergleichen. Fehlende oder beschädigte Gegenstände sind in dem Verzeichnis zu vermerken. § 94 Absatz 1 gilt entsprechend.</w:t>
      </w:r>
    </w:p>
    <w:p>
      <w:r>
        <w:t xml:space="preserve">(2) Die Versteigerungsbedingungen müssen § 1238 BGB entsprechen. Insbesondere ist aufzunehmen, dass der Käufer den Kaufpreis sofort zu entrichten hat und andernfalls seine Rechte verliert (§ 1238 Absatz 1 BGB). Verlangt der Pfandgläubiger die Versteigerung unter anderen Bedingungen (vergleiche § 1238 Absatz 2 BGB), so soll er darauf hingewiesen werden, dass er für den Schaden haftet, der daraus für den Eigentümer des Pfandes entsteht.</w:t>
      </w:r>
    </w:p>
    <w:p>
      <w:r>
        <w:t xml:space="preserve">(3) Im Termin sind die Kaufbedingungen bekanntzumachen. Sodann ist zum Bieten aufzufordern. Die Gegenstände sind regelmäßig einzeln und in der Reihenfolge des Verzeichnisses aufzurufen und zur Besichtigung vorzuzeigen. Gegenstände, die sich dazu eignen, insbesondere eine Anzahl von Gegenständen derselben Art, können auch zusammen ausgeboten werden. Der Auftraggeber und der Eigentümer des Pfandes können bei der Versteigerung mitbieten (§ 1239 Absatz 1 BGB). Das Gebot des Eigentümers und – wenn das Pfand für eine fremde Schuld haftet – das Gebot des Schuldners ist zurückzuweisen, wenn nicht der gebotene Betrag mit dem Gebot zur Verfügung gestellt wird (§ 1239 Absatz 2 BGB). Dies gilt nicht, wenn der Auftraggeber etwas anderes bestimmt. Dem Zuschlag an den Meistbietenden soll ein dreimaliger Aufruf vorausgehen. Gold- und Silbersachen dürfen nicht unter dem Gold- und Silberwert zugeschlagen werden (§ 1240 Absatz 1 BGB). Die Verpflichtung eines Bieters erlischt, sobald ein Übergebot abgegeben wird oder wenn die Versteigerung ohne Erteilung des Zuschlags geschlossen wird (§ 156 BGB).</w:t>
      </w:r>
    </w:p>
    <w:p>
      <w:r>
        <w:t xml:space="preserve">(4) Wenn die Versteigerungsbedingungen nichts anderes ergeben oder der Auftraggeber nichts anderes bestimmt (vergleiche Absatz 2), hat der Ersteher den zugeschlagenen Gegenstand gegen Zahlung des Kaufpreises unverzüglich in Empfang zu nehmen. Unterbleibt die Zahlung bis zu der in den Versteigerungsbedingungen bestimmten Zeit oder beim Fehlen einer solchen Bestimmung bis zum Schluss des Termins, so kann die Wiederversteigerung zu Lasten des Erstehers sofort vorgenommen werden.</w:t>
      </w:r>
    </w:p>
    <w:p>
      <w:r>
        <w:t xml:space="preserve">(5) Wird der Zuschlag dem Auftraggeber erteilt, so ist dieser von der Verpflichtung zur sofortigen Zahlung insoweit befreit, als der Erlös nach Abzug der Kosten an ihn abzuführen wäre; der Gerichtsvollzieher ist zur Herausgabe der Sache an ihn nur verpflichtet, wenn die Gerichtsvollzieherkosten gezahlt sind.</w:t>
      </w:r>
    </w:p>
    <w:p>
      <w:r>
        <w:t xml:space="preserve">(6) Die Versteigerung ist einzustellen, sobald der Erlös zur Befriedigung des Auftraggebers und zur Deckung der Kosten ausreicht. Der Gerichtsvollzieher rechnet deshalb die bereits erzielten Erlöse von Zeit zu Zeit zusammen.</w:t>
      </w:r>
    </w:p>
    <w:p>
      <w:r>
        <w:rPr>
          <w:color w:val="555555"/>
          <w:sz w:val="17"/>
        </w:rPr>
        <w:t xml:space="preserve">Zitiervorschlag: § 183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https://recht.nulegal.eu/gesetze/GVGA/183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