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GVGA (Bayern) — Gesetzlicher Vertreter, rechtsgeschäftlich bestellter Vertreter</w:t>
      </w:r>
    </w:p>
    <w:p>
      <w:r>
        <w:rPr>
          <w:color w:val="555555"/>
          <w:sz w:val="18"/>
        </w:rPr>
        <w:t xml:space="preserve">Geschäftsanweisung für Gerichtsvollzieher</w:t>
      </w:r>
    </w:p>
    <w:p>
      <w:r>
        <w:rPr>
          <w:color w:val="555555"/>
          <w:sz w:val="18"/>
        </w:rPr>
        <w:t xml:space="preserve">Landesrecht Bayern</w:t>
      </w:r>
    </w:p>
    <w:p>
      <w:r>
        <w:rPr>
          <w:color w:val="555555"/>
          <w:sz w:val="18"/>
        </w:rPr>
        <w:t xml:space="preserve">Stand: 25.08.2026 (konsolidierte Textfassung, kein amtliches Inkrafttretensdatum)</w:t>
      </w:r>
    </w:p>
    <w:p>
      <w:r>
        <w:t xml:space="preserve">(1) Ist im Schuldtitel oder im Auftrag eine bestimmte Person als gesetzlicher Vertreter bezeichnet, stellt der Gerichtsvollzieher an diese Person zu. Es besteht keine Prüfungspflicht, ob die bezeichnete Person tatsächlich gesetzlicher Vertreter ist. Fehlt die Angabe des gesetzlichen Vertreters und ergeben sich die gesetzlichen Vertretungsverhältnisse nicht anderweitig, veranlasst der Gerichtsvollzieher den Auftraggeber zu einer Ergänzung des Zustellungsauftrags.</w:t>
      </w:r>
    </w:p>
    <w:p>
      <w:r>
        <w:t xml:space="preserve">(2) Ist der Zustellungsadressat keine natürliche Person (zum Beispiel Behörde, Gemeinde, Körperschaft, Stiftung, Verein, eingetragene Genossenschaft, Gesellschaft), erfolgt die Zustellung eines Schriftstücks an den Leiter oder gesetzlichen Vertreter. Sind mehrere Leiter oder gesetzliche Vertreter vorhanden, so genügt die Zustellung an einen von ihnen.</w:t>
      </w:r>
    </w:p>
    <w:p>
      <w:r>
        <w:t xml:space="preserve">(3) Die gesetzliche Vertretung richtet sich nach den materiell-rechtlichen Vorschriften. In den Fällen des § 246 Absatz 2 Satz 2, § 249 Absatz 1, § 250 Absatz 3, § 251 Absatz 3, § 253 Absatz 2, § 254 Absatz 2, § 255 Absatz 3, § 256 Absatz 7, § 257 Absatz 2 und des § 275 Absatz 4 des Aktiengesetzes (AktG) sowie des § 51 des Genossenschaftsgesetzes (GenG) hat die Zustellung sowohl an den Vorstand als auch an den Aufsichtsrat zu erfolgen; das gleiche gilt in den Fällen des § 75 des Gesetzes betreffend die Gesellschaften mit beschränkter Haftung (GmbHG) wenn ein Aufsichtsrat bestellt ist.</w:t>
      </w:r>
    </w:p>
    <w:p>
      <w:r>
        <w:t xml:space="preserve">(4) Ist im Auftrag eine Person als rechtsgeschäftlich bestellter Vertreter mit den erforderlichen Angaben bezeichnet, so stellt der Gerichtsvollzieher nach Vorlage der schriftlichen Vollmacht an diese Person zu. Das gilt auch, wenn anlässlich der Zustellung ein anderer rechtsgeschäftlich bestellter Vertreter die Vertretung des Adressaten anzeigt. Die Vollmacht kann als elektronisches Dokument übermittelt werden, wenn der Aussteller der Erklärung dieser seinen Namen hinzugefügt und das elektronische Dokument mit einer qualifizierten elektronischen Signatur versehen hat. Es bedarf keiner Ermittlungen darüber, ob ein Dritter bevollmächtigt ist oder ob die ihm vorgelegte Vollmacht ordnungsgemäß ist. Die Zustellung unterbleibt, wenn der Gerichtsvollzieher Zweifel an der Echtheit und am Umfang der Vollmacht hat. Auf der Zustellungsurkunde (§ 24) ist zu vermerken, dass die Vollmachtsurkunde vorgelegen hat. Erfolgt die Zustellung als elektronisches Dokument kann der Gerichtsvollzieher einen gesonderten Vermerk erstellen, aus dem er mit automatisierter Eingangsbestätigung und zuzustellendem Dokument ein neues, einheitliches elektronisches Dokument herstellt.</w:t>
      </w:r>
    </w:p>
    <w:p>
      <w:r>
        <w:rPr>
          <w:color w:val="555555"/>
          <w:sz w:val="17"/>
        </w:rPr>
        <w:t xml:space="preserve">Zitiervorschlag: § 18 GVGA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https://recht.nulegal.eu/gesetze/GVGA/18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