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178 GVGA (Bayern) — Proteststelle, Verfahren bei der Protesterhebung und Protesturkunde</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Vorschriften des § 167 über die Proteststelle, des § 168 über das Verfahren bei der Protesterhebung und des § 171 über die Protesturkunde finden für den Scheckprotest sinngemäße Anwendung.</w:t>
      </w:r>
    </w:p>
    <w:p>
      <w:r>
        <w:t xml:space="preserve">(2) Für die Protesterhebung beim Verrechnungsscheck gelten folgende besondere Bestimmungen:</w:t>
      </w:r>
    </w:p>
    <w:p>
      <w:r>
        <w:t xml:space="preserve">1. Der Scheckinhaber hat dem Gerichtsvollzieher Weisung zu erteilen, wie die Verrechnung vorgenommen werden soll, zum Beispiel durch Gutschrift auf seinem bei dem Bezogenen bereits vorhandenen oder einzurichtenden Konto. Der Bezogene kann jedoch jede andere Art einer rechtlich zulässigen Verrechnung wählen.</w:t>
      </w:r>
    </w:p>
    <w:p>
      <w:r>
        <w:t xml:space="preserve">2. Ist der Bezogene zur Verrechnung bereit, so darf der Gerichtsvollzieher den Scheck erst aushändigen, wenn er von dem Bezogenen eine Gutschriftsanzeige oder eine sonstige verbindliche Erklärung über die Verrechnung erhalten hat.</w:t>
      </w:r>
    </w:p>
    <w:p>
      <w:r>
        <w:t xml:space="preserve">3. Bietet der Bezogene dem Gerichtsvollzieher bei der Vorlegung eines Verrechnungsschecks Barzahlung an, so ist der Gerichtsvollzieher trotz des Verrechnungsvermerks berechtigt und verpflichtet, die Zahlung anzunehmen. Ferner ist er verpflichtet, angebotene Teilzahlungen anzunehmen (Artikel 34 Absatz 2 ScheckG).</w:t>
      </w:r>
    </w:p>
    <w:p>
      <w:r>
        <w:rPr>
          <w:color w:val="555555"/>
          <w:sz w:val="17"/>
        </w:rPr>
        <w:t xml:space="preserve">Zitiervorschlag: § 178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https://recht.nulegal.eu/gesetze/GVGA/178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