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177 GVGA (Bayern) — Protestort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Protestort ist der Zahlungsort. Fehlt eine besondere Angabe, so gilt der bei dem Namen des Bezogenen angegebene Ort als Zahlungsort. Sind mehrere Orte bei dem Namen des Bezogenen angegeben, so ist der Scheck an dem Ort zahlbar, der an erster Stelle genannt ist. Fehlt jede Angabe, so ist der Scheck an dem Ort zahlbar, an dem der Bezogene seine Hauptniederlassung hat (Artikel 2 Absatz 2 und 3 ScheckG).</w:t>
      </w:r>
    </w:p>
    <w:p>
      <w:r>
        <w:t xml:space="preserve">(2) Der Scheck kann bei einem Dritten, am Wohnort des Bezogenen oder an einem anderen Ort zahlbar gestellt werden, sofern der Dritte Bankier ist (Artikel 8 ScheckG).</w:t>
      </w:r>
    </w:p>
    <w:p>
      <w:r>
        <w:rPr>
          <w:color w:val="555555"/>
          <w:sz w:val="17"/>
        </w:rPr>
        <w:t xml:space="preserve">Zitiervorschlag: § 177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