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175 GVGA (Bayern) — Protestfristen (Artikel 29, 41 ScheckG)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Protest muss vor Ablauf der Vorlegungsfrist erhoben werden.</w:t>
      </w:r>
    </w:p>
    <w:p>
      <w:r>
        <w:t xml:space="preserve">(2) Die Vorlegungsfristen sind in Artikel 29 ScheckG festgelegt. Danach sind in Deutschland zahlbare Schecks vorzulegen</w:t>
      </w:r>
    </w:p>
    <w:p>
      <w:r>
        <w:t xml:space="preserve">1. wenn sie in Deutschland ausgestellt sind, binnen acht Tagen,</w:t>
      </w:r>
    </w:p>
    <w:p>
      <w:r>
        <w:t xml:space="preserve">2. wenn sie in einem anderen europäischen oder in einem an das Mittelmeer angrenzenden Land ausgestellt sind, binnen 20 Tagen,</w:t>
      </w:r>
    </w:p>
    <w:p>
      <w:r>
        <w:t xml:space="preserve">3. wenn sie in einem anderen Erdteil ausgestellt sind, binnen 70 Tagen.</w:t>
      </w:r>
    </w:p>
    <w:p>
      <w:r>
        <w:t xml:space="preserve">Diese Fristen beginnen an dem Tag zu laufen, der im Scheck als Ausstellungstag angegeben ist.</w:t>
      </w:r>
    </w:p>
    <w:p>
      <w:r>
        <w:t xml:space="preserve">(3) Ist die Vorlegung am letzten Tag der Frist erfolgt, so kann der Protest auch noch an dem folgenden Werktag erhoben werden.</w:t>
      </w:r>
    </w:p>
    <w:p>
      <w:r>
        <w:rPr>
          <w:color w:val="555555"/>
          <w:sz w:val="17"/>
        </w:rPr>
        <w:t xml:space="preserve">Zitiervorschlag: § 175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