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173 GVGA (Bayern) — Arten des Scheckprotestes (Artikel 40 ScheckG)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Das Scheckgesetz kennt lediglich den Protest mangels Zahlung. Er dient zum Nachweis dafür, dass der Scheck rechtzeitig zur Zahlung vorgelegt und nicht eingelöst oder dass die Vorlegung vergeblich versucht worden ist. Die Protesterhebung ist auch beim Verrechnungsscheck erforderlich.</w:t>
      </w:r>
    </w:p>
    <w:p>
      <w:r>
        <w:rPr>
          <w:color w:val="555555"/>
          <w:sz w:val="17"/>
        </w:rPr>
        <w:t xml:space="preserve">Zitiervorschlag: § 173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https://recht.nulegal.eu/gesetze/GVGA/173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