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GVGA (Bayern)</w:t>
      </w:r>
    </w:p>
    <w:p>
      <w:r>
        <w:rPr>
          <w:color w:val="555555"/>
          <w:sz w:val="18"/>
        </w:rPr>
        <w:t xml:space="preserve">Geschäftsanweisung für Gerichtsvollzieher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persönliche Zustellung führt der Gerichtsvollzieher nach Maßgabe der §§ 191 bis 193, 194, 195 und §§ 166 bis 172, 174 bis 190 ZPO aus. § 58 Absatz 1 Satz 2 ist zu beachten.</w:t>
      </w:r>
    </w:p>
    <w:p>
      <w:r>
        <w:rPr>
          <w:color w:val="555555"/>
          <w:sz w:val="17"/>
        </w:rPr>
        <w:t xml:space="preserve">Zitiervorschlag: § 17 GVGA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https://recht.nulegal.eu/gesetze/GVGA/17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