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169 GVGA (Bayern) — Fremdwährungswechsel (Artikel 41 WG)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Lautet der Wechsel auf eine fremde, am Zahlungsort nicht geltende Währung, so kann die Wechselsumme in der Landeswährung nach dem Wert bezahlt werden, den sie am Verfalltag besitzt. Verzögert der Schuldner die Zahlung, so kann der Inhaber wählen, ob die Wechselsumme nach dem Kurs des Verfalltages oder nach dem Kurs des Zahlungstages in die Landeswährung umgerechnet werden soll. Für den Gerichtsvollzieher ist insoweit die nähere Bestimmung durch den Auftraggeber maßgebend.</w:t>
      </w:r>
    </w:p>
    <w:p>
      <w:r>
        <w:t xml:space="preserve">(2) Der Wert der fremden Währung bestimmt sich nach den Handelsbräuchen des Zahlungsorts. Der Aussteller kann jedoch im Wechsel für die zu zahlende Summe einen Umrechnungskurs bestimmen. Hat der Gerichtsvollzieher hinsichtlich der Umrechnung Zweifel, so kann er den Auftraggeber um die Umrechnung ersuchen, falls dies im Hinblick auf die Protestfrist angängig ist.</w:t>
      </w:r>
    </w:p>
    <w:p>
      <w:r>
        <w:t xml:space="preserve">(3) Die Vorschriften in Absatz 1 und 2 gelten nicht, wenn der Aussteller die Zahlung in einer bestimmten Währung vorgeschrieben hat (Effektivvermerk).</w:t>
      </w:r>
    </w:p>
    <w:p>
      <w:r>
        <w:rPr>
          <w:color w:val="555555"/>
          <w:sz w:val="17"/>
        </w:rPr>
        <w:t xml:space="preserve">Zitiervorschlag: § 169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https://recht.nulegal.eu/gesetze/GVGA/169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