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168 GVGA (Bayern) — Verfahren bei der Protesterhebung</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An der Proteststelle erkundigt sich der Gerichtsvollzieher nach dem Protestgegner und, falls die Zahlung bei einem Dritten erfolgen soll, nach diesem. Trifft er den Protestgegner oder den Dritten an, so legt er ihm den Wechsel je nach dem Inhalt seines Auftrags zur Zahlung, Annahme, Datierung und so weiter vor und nimmt seine Erklärungen entgegen.</w:t>
      </w:r>
    </w:p>
    <w:p>
      <w:r>
        <w:t xml:space="preserve">(2) Trifft der Gerichtsvollzieher nicht den Protestgegner, aber dessen Vertreter an, so erfragt er Namen und Beruf des Vertreters und richtet an ihn unter Vorlegung des Wechsels die erforderlichen Aufforderungen. Vertreter im Sinne dieser Bestimmung ist nur der gesetzliche Vertreter oder der Bevollmächtigte; Gewerbegehilfen, Lehrlinge, Hausdiener und so weiter sind ohne Vollmacht nicht ermächtigt, die Aufforderung des Gerichtsvollziehers entgegenzunehmen.</w:t>
      </w:r>
    </w:p>
    <w:p>
      <w:r>
        <w:t xml:space="preserve">(3) Bietet der Protestgegner oder ein anderer für ihn die Zahlung des Wechsels oder die andere wechselrechtliche Leistung tatsächlich an, so nimmt der Gerichtsvollzieher sie entgegen. Ist die Wechselsumme in Buchstaben und in Ziffern angegeben, so gilt bei Abweichungen die in Buchstaben angegebene Summe. Ist die Wechselsumme mehrmals in Buchstaben oder mehrmals in Ziffern angegeben, so gilt bei Abweichungen die geringste Summe (Artikel 6 WG). Gegen Vollzahlung, das heißt gegen Zahlung der Wechselsumme und der etwa entstandenen Zinsen und Protestkosten, quittiert der Gerichtsvollzieher auf dem Wechsel, sofern dieser noch nicht vom Gläubiger quittiert ist; er händigt den Wechsel demjenigen aus, der ihn eingelöst hat. Zahlt der Notadressat oder Ehrenannehmer die Wechselsumme, so ist in der Quittung und auf dem Wechsel auch anzugeben, für wen gezahlt worden ist (Artikel 62 WG). Eine Teilzahlung darf der Gerichtsvollzieher nicht zurückweisen. Er erhebt in diesem Fall wegen des Restes Protest. Die Teilzahlung vermerkt er im Protest; der Bezogene kann verlangen, dass sie auch auf dem Wechsel vermerkt wird und dass ihm eine besondere Quittung erteilt wird (Artikel 39 WG). Das gezahlte Geld führt der Gerichtsvollzieher nach Abzug der Gerichtsvollzieherkosten unverzüglich an den Berechtigten ab. Bei teilweiser Annahme ist wegen des Restes Protest zu erheben, desgleichen auch, wenn die Annahmeerklärung irgendeine andere Abweichung von den Bestimmungen des Wechsels enthält.</w:t>
      </w:r>
    </w:p>
    <w:p>
      <w:r>
        <w:t xml:space="preserve">(4) Verlangt der Bezogene bei der Vorlegung zur Annahme, dass ihm der Wechsel nach der ersten Vorlegung nochmals vorgelegt wird, so ist diesem Verlangen zu entsprechen. Der Gerichtsvollzieher nimmt über die Vorlegung und das Verlangen des Bezogenen einen urkundlichen Vermerk auf, legt den Wechsel dem Bezogenen am nächsten Tag nochmals vor und erhebt dann Protest, wenn die Annahme verweigert wird. In dem Protest vermerkt er auch, dass der Bezogene die nochmalige Vorlegung des Wechsels verlangt hat. Dasselbe gilt, wenn der Bezogene bei der Protesterhebung erneut die nochmalige Vorlegung verlangt. Ohne Zustimmung des Wechselinhabers darf der Gerichtsvollzieher den zur Annahme vorgelegten Wechsel während der Überlegungsfrist nicht in der Hand des Bezogenen lassen (Artikel 23, 44 Absatz 2 WG).</w:t>
      </w:r>
    </w:p>
    <w:p>
      <w:r>
        <w:t xml:space="preserve">(5) Wird der Auftrag ohne Protesterhebung erledigt, so muss der Gerichtsvollzieher dies urkundlich vermerken und den Vermerk zu den Protestsammelakten (§ 179) nehmen.</w:t>
      </w:r>
    </w:p>
    <w:p>
      <w:r>
        <w:t xml:space="preserve">(6) Trifft der Gerichtsvollzieher weder den Protestgegner (Dritten) noch seinen Vertreter an der Proteststelle an oder findet er die Proteststelle vorübergehend verschlossen vor oder wird er an dem Zutritt zu der Proteststelle aus einem nicht in seiner Person liegenden Grund gehindert oder kann er die Proteststelle oder den Protestort nicht ermitteln, so erhebt er durch Feststellung dieser Tatsachen Protest.</w:t>
      </w:r>
    </w:p>
    <w:p>
      <w:r>
        <w:t xml:space="preserve">(7) Eine Protesterhebung ist auch dann erforderlich, wenn derjenige, für den protestiert wird (Protestnehmer), und der Dritte, bei dem der Wechsel zahlbar gestellt ist (vergleiche § 165 Absatz 1), ein und dieselbe Person ist.</w:t>
      </w:r>
    </w:p>
    <w:p>
      <w:r>
        <w:t xml:space="preserve">(8) Über die Erledigung des Auftrags zur Protesterhebung macht der Gerichtsvollzieher dem Auftraggeber unverzüglich Mitteilung. War ihm die Protesterhebung durch das Amtsgericht übertragen (§ 159 Absatz 1), so richtet er die Mitteilung an das Amtsgericht und fügt alle entstandenen Schriftstücke bei. Wegen des Wechsels und der Protesturkunde vergleiche jedoch § 171 Absatz 8.</w:t>
      </w:r>
    </w:p>
    <w:p>
      <w:r>
        <w:rPr>
          <w:color w:val="555555"/>
          <w:sz w:val="17"/>
        </w:rPr>
        <w:t xml:space="preserve">Zitiervorschlag: § 168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https://recht.nulegal.eu/gesetze/GVGA/168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