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164 GVGA (Bayern) — Protestfristen</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Protest mangels Annahme muss innerhalb der Frist erhoben werden, die für die Vorlegung zur Annahme gilt. Die Vorlegung kann nur bis zum Verfall erfolgen. Die Frist zur Vorlegung kann im Wechsel näher bestimmt sein. Nachsichtwechsel müssen spätestens binnen einem Jahr nach dem Tag der Ausstellung zur Annahme vorgelegt werden, falls nicht der Aussteller eine kürzere oder längere Frist bestimmt hat oder die Indossanten die Vorlegungsfrist abgekürzt haben (Artikel 44 Absatz 2, Artikel 21 bis 23 WG). Der Bezogene kann verlangen, dass ihm der Wechsel am Tag nach der ersten Vorlegung nochmals vorgelegt wird (Artikel 24 Absatz 1 WG). Ist in diesem Fall der Wechsel am letzten Tage der Frist zum ersten Mal vorgelegt worden, so kann der Protest noch am folgenden Tag erhoben werden (Artikel 44 Absatz 2 WG). Wegen des Verfahrens des Gerichtsvollziehers vergleiche § 168 Absatz 4.</w:t>
      </w:r>
    </w:p>
    <w:p>
      <w:r>
        <w:t xml:space="preserve">(2) Der Protest mangels Zahlung muss bei einem Wechsel, der an einem bestimmten Tag oder bestimmte Zeit nach der Ausstellung oder nach Sicht zahlbar ist, an einem der beiden auf den Zahlungstag folgenden Werktage erhoben werden. Der Auftrag, einen Wechsel mangels Zahlung zu protestieren, darf auch dann nicht abgelehnt werden, wenn der Protest erst an einem Tag erhoben werden kann, welcher – ohne den dem Zahlungstag folgenden Sonnabend mitzuzählen – der zweite Werktag nach dem Zahlungstag ist. Bei einem Sichtwechsel muss der Protest mangels Zahlung in den Fristen erhoben werden, die für den Protest mangels Annahme vorgesehen sind (Absatz 1). Der Inhaber eines Sichtwechsels ist daher nicht genötigt, stets nach der ersten Vorlegung Protest erheben zu lassen. Er kann die Vorlegung innerhalb der hierfür bestimmten Frist beliebig wiederholen (Artikel 44 Absatz 3 WG). Der Protest wegen unterbliebener Ehrenzahlung ist spätestens am Tag nach Ablauf der Frist für die Erhebung des Protestes mangels Zahlung, in der Regel also am dritten Werktag nach dem Zahlungstag, zu erheben (Artikel 60 WG). Zahlungstag ist in der Regel der Verfalltag (vergleiche Artikel 33 bis 37 WG). Verfällt jedoch der Wechsel an einem Sonntag, einem sonstigen gesetzlichen Feiertag oder einem Sonnabend, so kann die Zahlung erst am nächsten Werktag verlangt werden.</w:t>
      </w:r>
    </w:p>
    <w:p>
      <w:r>
        <w:t xml:space="preserve">(3) Der Protest mangels Sichtbestätigung muss in der Frist für die Vorlegung zur Sicht erhoben werden (Artikel 78 Absatz 2, Artikel 23, 44 Absatz 2 WG). Dem Aussteller steht die Überlegungsfrist nach Artikel 24 Absatz 1 WG nicht zu.</w:t>
      </w:r>
    </w:p>
    <w:p>
      <w:r>
        <w:t xml:space="preserve">(4) Für die Erhebung des Protestes mangels Aushändigung gegen den Verwahrer einer zur Annahme versandten Ausfertigung (Ausfolgungsprotest nach Artikel 66 Absatz 2 Nummer 1 WG) gilt dieselbe Frist wie für den Hauptprotest mangels Annahme oder Zahlung (Artikel 66 Absatz 2 Nummer 2 WG). Die Frist für den Protest mangels Aushändigung der Urschrift (Ausfolgungsprotest nach Artikel 68 Absatz 2 WG) richtet sich nach den Fristen für den Protest mangels Zahlung.</w:t>
      </w:r>
    </w:p>
    <w:p>
      <w:r>
        <w:t xml:space="preserve">(5) Die in den Absätzen 1 bis 4 bezeichneten Fristen sind gesetzliche Ausschlussfristen. Steht jedoch der rechtzeitigen Vorlegung des Wechsels oder der rechtzeitigen Protesterhebung ein unüberwindliches Hindernis entgegen, so werden die für diese Handlungen bestimmten Fristen verlängert. Der Gerichtsvollzieher gibt in diesem Fall dem Auftraggeber den Wechsel unverzüglich zurück und teilt ihm die Gründe mit, die der rechtzeitigen Erledigung des Auftrags entgegenstehen. Ein unüberwindliches Hindernis kann durch die gesetzliche Vorschrift eines Staates (zum Beispiel ein Moratorium) oder durch einen anderen Fall höherer Gewalt (zum Beispiel Kriegsereignisse, Überschwemmungen, Erdbeben) gegeben sein (vergleiche Artikel 54 Absatz 1 WG). Jedoch gelten solche Tatsachen nicht als Fälle höherer Gewalt, die rein persönlich den mit der Vorlegung oder Protesterhebung beauftragten Gerichtsvollzieher betreffen (Artikel 54 Absatz 6 WG). Der Gerichtsvollzieher sorgt daher bei persönlicher Verhinderung für die beschleunigte Weitergabe des Auftrags an seinen Vertreter; gegebenenfalls unterrichtet er unter Vorlegung des Auftrags den aufsichtführenden Richter.</w:t>
      </w:r>
    </w:p>
    <w:p>
      <w:r>
        <w:rPr>
          <w:color w:val="555555"/>
          <w:sz w:val="17"/>
        </w:rPr>
        <w:t xml:space="preserve">Zitiervorschlag: § 164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https://recht.nulegal.eu/gesetze/GVGA/164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