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 GVGA (Bayern) — Zeit der Protesterhebung (Artikel 72 Absatz 1, Artikel 86 WG, Artikel 55 ScheckG)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Protesterhebung darf nur an einem Werktag, jedoch nicht an einem Sonnabend, stattfinden.</w:t>
      </w:r>
    </w:p>
    <w:p>
      <w:r>
        <w:t xml:space="preserve">(2) Die Proteste sollen in der Zeit von 9 bis 18 Uhr erhoben werden (Proteststunden); die Protesturkunde braucht jedoch nicht innerhalb dieser Zeit errichtet zu werden. Bei der Protesterhebung in den Geschäftsräumen des Protestgegners (vergleiche § 167) ist tunlichst auf die übliche Geschäftszeit Rücksicht zu nehmen. Außerhalb der Proteststunden soll die Protesterhebung nur erfolgen, wenn der Protestgegner ausdrücklich einwilligt.</w:t>
      </w:r>
    </w:p>
    <w:p>
      <w:r>
        <w:rPr>
          <w:color w:val="555555"/>
          <w:sz w:val="17"/>
        </w:rPr>
        <w:t xml:space="preserve">Zitiervorschlag: § 160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