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159 GVGA (Bayern) — Auftrag zur Protesterhebung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Auftrag zur Protesterhebung wird dem Gerichtsvollzieher von dem Berechtigten oder dessen Vertreter unmittelbar erteilt. Ob ihm die Protesterhebung auch durch das Amtsgericht übertragen werden kann, bei dem der Berechtigte die Erhebung des Protestes beantragt hat, richtet sich nach den landesrechtlichen Bestimmungen.</w:t>
      </w:r>
    </w:p>
    <w:p>
      <w:r>
        <w:t xml:space="preserve">(2) Der Auftrag zur Protesterhebung verpflichtet den Gerichtsvollzieher, alle im Einzelfall erforderlichen Handlungen vorzunehmen, insbesondere den Wechselverpflichteten zu der wechselmäßigen Leistung aufzufordern, wegen deren Nichterfüllung Protest erhoben werden soll, und diese Leistung anzunehmen. Die Befugnis des Gerichtsvollziehers zur Annahme der Zahlung kann nicht ausgeschlossen werden (Artikel 84 WG, Artikel 55 Absatz 3 ScheckG). Ein Auftrag, der allgemein auf Protesterhebung lautet, verpflichtet den Gerichtsvollzieher im Zweifel auch, den von dem Bezogenen nicht eingelösten Wechsel bei dem am Zahlungsort wohnenden Notadressaten oder Ehrenannehmer vorzulegen und, falls dieser nicht leistet, zu protestieren (Artikel 60 WG).</w:t>
      </w:r>
    </w:p>
    <w:p>
      <w:r>
        <w:t xml:space="preserve">(3) Der Gerichtsvollzieher darf den Auftrag zur Protesterhebung auch dann nicht ablehnen, wenn er der Meinung ist, der Protest sei nicht notwendig oder die Protestfrist sei versäumt oder wenn er weiß, dass keine Zahlung erfolgen wird, weil der Schuldner zahlungsunfähig ist.</w:t>
      </w:r>
    </w:p>
    <w:p>
      <w:r>
        <w:rPr>
          <w:color w:val="555555"/>
          <w:sz w:val="17"/>
        </w:rPr>
        <w:t xml:space="preserve">Zitiervorschlag: § 159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