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GVGA (Bayern) — Einstweilige Verfügung, Sequestration, Verwahrung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 938 ZPO kann die einstweilige Verfügung auch in einer Sequestration bestehen, das heißt in der Verwahrung und Verwaltung durch eine Vertrauensperson. Der Gerichtsvollzieher wird bei der Vollziehung einer solchen Verfügung nur insoweit tätig, als es sich darum handelt, dem Sequester durch eine Zwangsmaßnahme die Durchführung der Sequestration zu ermöglichen, zum Beispiel durch die Wegnahme einer beweglichen Sache oder die Räumung eines Grundstücks und die Übergabe an den Sequester. Der Gerichtsvollzieher ist nicht verpflichtet, das Amt eines Sequesters zu übernehmen.</w:t>
      </w:r>
    </w:p>
    <w:p>
      <w:r>
        <w:t xml:space="preserve">(2) Erfordert die in einer einstweiligen Verfügung angeordnete Sicherstellung einer Sache nur eine Verwahrung (ohne Verwaltung), so liegt keine Sequestration vor. Der Gerichtsvollzieher muss die Verwahrung mit übernehmen, da sie noch eine Vollstreckungshandlung darstellt. Die Kosten einer solchen Verwahrung sind Vollstreckungskosten. Die Sicherstellung einer beweglichen Sache bedeutet in der Regel keine Sequestration, da sie keine selbständige Verwaltung notwendig macht.</w:t>
      </w:r>
    </w:p>
    <w:p>
      <w:r>
        <w:t xml:space="preserve">(3) Ist in der einstweiligen Verfügung die Sequestration angeordnet, so kann der Gerichtsvollzieher im Zweifel davon ausgehen, dass es sich um die Anordnung einer Verwaltung handelt; er kann in diesen Fällen nach Absatz 1 verfahren.</w:t>
      </w:r>
    </w:p>
    <w:p>
      <w:r>
        <w:rPr>
          <w:color w:val="555555"/>
          <w:sz w:val="17"/>
        </w:rPr>
        <w:t xml:space="preserve">Zitiervorschlag: § 154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