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 GVGA (Bayern) — (§§ 916 bis 945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Arrestbefehle und einstweilige Verfügungen sind Schuldtitel, die nicht eine Befriedigung des Gläubigers, sondern nur eine Sicherung seines Anspruchs oder die einstweilige Regelung eines rechtlichen Zustandes bezwecken. Der dingliche Arrest wird durch Beschlagnahme des gesamten Vermögens des Schuldners oder eines in dem Befehl näher bezeichneten Teiles hiervon, der persönliche Sicherheitsarrest je nach dem Inhalt des Befehls durch Verhaftung des Schuldners oder eine sonstige Beschränkung seiner persönlichen Freiheit vollzogen. Bei der einstweiligen Verfügung trifft das Gericht in dem Befehl die zur Erreichung des Zwecks erforderlichen Anordnungen, die zum Beispiel darin bestehen können, dass dem Schuldner eine Handlung geboten oder verboten, unter Umständen auch eine Leistung an den Gläubiger oder die Herausgabe einer beweglichen Sache oder eines Grundstücks aufgegeben wird.</w:t>
      </w:r>
    </w:p>
    <w:p>
      <w:r>
        <w:t xml:space="preserve">(2) Arrestbefehle und einstweilige Verfügungen ergehen in Form eines Urteils oder eines Beschlusses. Sie werden dem Gläubiger von dem Gericht durch Verkündung oder durch Zustellung von Amts wegen bekannt gemacht, dem Schuldner dagegen auf Betreiben und im Auftrag des Gläubigers durch einen Gerichtsvollzieher zugestellt, sofern der Arrest oder die einstweilige Verfügung durch Beschluss angeordnet worden ist (vergleiche § 922 Absatz 2 ZPO). Ist über das Gesuch durch Urteil entschieden worden, kann eine Zustellung an den Schuldner von Amts wegen nach § 317 Absatz 1 Satz 1 ZPO oder zum Zwecke der Einleitung der Vollziehung im Parteibetrieb nach § 750 Absatz 1 Satz 2 Halbsatz 1, § 795 ZPO erfolgen. In Familienstreitsachen kann das Gericht gemäß § 119 Absatz 2 Satz 1 FamFG den Arrest anordnen. Satz 2 und 3 finden entsprechende Anwendung.</w:t>
      </w:r>
    </w:p>
    <w:p>
      <w:r>
        <w:t xml:space="preserve">(3) Die Vollziehung des Arrestes ist innerhalb einer Ausschlussfrist von einem Monat zulässig. Die Frist beginnt mit der Verkündung des Arrestbefehls oder dessen Zustellung an den Gläubiger (§ 929 Absatz 2 Satz 1 ZPO). Kann ein ausländischer Sicherungstitel im Inland ohne vorherige Vollstreckbarerklärung vollzogen werden, beträgt die Frist nach Satz 1 zwei Monate (§ 929 Absatz 2 Satz 2 ZPO). Dasselbe gilt für die Vollziehung einer einstweiligen Verfügung, soweit sich nicht aus den darin getroffenen Anordnungen etwas anderes ergibt (§ 936 ZPO). Der Gerichtsvollzieher prüft selbstständig, ob die Ausschlussfrist abgelaufen ist. Er beachtet dabei, dass der Arrestbefehl dem Gläubiger auch dann zugestellt ist, wenn er ihm an der Amtsstelle ausgehändigt worden ist (§ 174 ZPO). Die Frist ist schon dadurch gewahrt, dass der Antrag des Gläubigers auf Vornahme der Vollstreckungshandlung vor ihrem Ablauf bei dem Gerichtsvollzieher eingeht. Soweit die Vollziehung nicht mehr statthaft ist, lehnt er den Auftrag ab.</w:t>
      </w:r>
    </w:p>
    <w:p>
      <w:r>
        <w:t xml:space="preserve">(4) Eine Vollstreckungsklausel ist auf Arrestbefehlen und einstweiligen Verfügungen nur dann erforderlich, wenn die Vollziehung für einen anderen als den im Befehl bezeichneten Gläubiger oder gegen einen anderen als den im Befehl bezeichneten Schuldner erfolgen soll (§ 929 Absatz 1 ZPO).</w:t>
      </w:r>
    </w:p>
    <w:p>
      <w:r>
        <w:t xml:space="preserve">(5) Abweichend von der Regel der §§ 44 und 45 ist die Vollziehung eines Arrestes oder einer einstweiligen Verfügung auch zulässig, bevor die Entscheidung oder – falls eine Vollstreckungsklausel erteilt ist – bevor die Klausel und die in ihr erwähnten, die Rechtsnachfolge beweisenden Urkunden dem Schuldner zugestellt sind. Die Wirksamkeit der Vollziehung ist dadurch bedingt, dass die Zustellung innerhalb einer Woche nach der Vollziehung und zugleich vor Ablauf der Ausschlussfrist nachgeholt wird (§ 929 Absatz 3 ZPO; vergleiche auch § 167 ZPO). Der mit der Vollziehung beauftragte Gerichtsvollzieher hat auch ohne ausdrückliche Anweisung des Gläubigers für die rechtzeitige Zustellung der Entscheidung zu sorgen.</w:t>
      </w:r>
    </w:p>
    <w:p>
      <w:r>
        <w:rPr>
          <w:color w:val="555555"/>
          <w:sz w:val="17"/>
        </w:rPr>
        <w:t xml:space="preserve">Zitiervorschlag: § 152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