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150 GVGA (Bayern) — Verhaftung ausländischer Staatsangehöriger</w:t>
      </w:r>
    </w:p>
    <w:p>
      <w:r>
        <w:rPr>
          <w:color w:val="555555"/>
          <w:sz w:val="18"/>
        </w:rPr>
        <w:t xml:space="preserve">Geschäftsanweisung für Gerichtsvollzieher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Bei der Verhaftung ausländischer Staatsangehöriger gelten Artikel 36 Absatz 1 Buchstabe b des Wiener Übereinkommens über konsularische Beziehungen vom 24. April 1963 (BGBl. 1969 II S. 1585, 1587) und die dazu ergangenen besonderen landesspezifischen Regelungen. Die Belehrungs- und Benachrichtigungspflicht obliegt dem Gerichtsvollzieher in den Fällen der §§ 145 bis 149.</w:t>
      </w:r>
    </w:p>
    <w:p>
      <w:r>
        <w:rPr>
          <w:color w:val="555555"/>
          <w:sz w:val="17"/>
        </w:rPr>
        <w:t xml:space="preserve">Zitiervorschlag: § 150 GVGA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https://recht.nulegal.eu/gesetze/GVGA/150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