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GVGA (Bayern) — Nachverhaftung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der Schuldner bereits nach den §§ 144 und 145 in Erzwingungshaft genommen, so ist ein weiterer Haftbefehl gegen ihn dadurch zu vollstrecken, dass der Gerichtsvollzieher sich in die Justizvollzugsanstalt zu dem Schuldner begibt und ihn durch persönliche Eröffnung unter Übergabe einer beglaubigten Abschrift des Haftbefehls für nachverhaftet erklärt. Der Haftbefehl ist dem zuständigen Vollzugsbediensteten mit dem Ersuchen auszuhändigen, an dem Schuldner die fernere Haft nach Beendigung der zuerst verhängten Haft zu vollstrecken.</w:t>
      </w:r>
    </w:p>
    <w:p>
      <w:r>
        <w:t xml:space="preserve">(2) Das Protokoll muss die Bezeichnung des Haftbefehls und die vom Gerichtsvollzieher abgegebenen Erklärungen enthalten. Die Aushändigung des Haftbefehls ist von dem Vollzugsbediensteten unter dem Protokoll zu bescheinigen. Im Übrigen findet § 145 entsprechende Anwendung.</w:t>
      </w:r>
    </w:p>
    <w:p>
      <w:r>
        <w:t xml:space="preserve">(3) Gegen einen Schuldner, der sich in Untersuchungshaft oder in Strafhaft befindet, kann die Erzwingungshaft erst nach Beendigung der Untersuchungshaft oder der Strafhaft vollzogen werden. Der Gerichtsvollzieher erfragt bei dem Vollzugsbediensteten, bis zu welchem Tag gegen den Schuldner voraussichtlich noch Untersuchungshaft oder Strafhaft vollstreckt wird. Liegt dieser Tag vor dem Tag, von dem an die Vollziehung des Haftbefehls unstatthaft ist, weil seit seinem Erlass zwei Jahre vergangen sind (§ 802h Absatz 1 ZPO), verfährt der Gerichtsvollzieher entsprechend Absatz 1 und 2. Andernfalls gibt der Gerichtsvollzieher den Auftrag unerledigt an den Gläubiger zurück. Es bleibt dem Gläubiger überlassen, sich nötigenfalls mit dem Gericht, der Staatsanwaltschaft oder dem Anstaltsleiter in Verbindung zu setzen, um die Beendigung der Untersuchungshaft oder Strafhaft zu erfahren. Sodann kann er den Gerichtsvollzieher erneut mit der Verhaftung beauftragen.</w:t>
      </w:r>
    </w:p>
    <w:p>
      <w:r>
        <w:t xml:space="preserve">(4) Absatz 1 bis 3 findet bei der Vollziehung des persönlichen Sicherheitsarrests entsprechende Anwendung (§ 145 Absatz 6).</w:t>
      </w:r>
    </w:p>
    <w:p>
      <w:r>
        <w:rPr>
          <w:color w:val="555555"/>
          <w:sz w:val="17"/>
        </w:rPr>
        <w:t xml:space="preserve">Zitiervorschlag: § 146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