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GVGA (Bayern) — Erzwingungshaft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Beantragt der Gläubiger gemäß § 802g Absatz 1 ZPO den Erlass eines Haftbefehls, so leitet der Gerichtsvollzieher den Antrag zusammen mit seiner Akte an das nach § 764 Absatz 2 ZPO zuständige Vollstreckungsgericht weiter.</w:t>
      </w:r>
    </w:p>
    <w:p>
      <w:r>
        <w:t xml:space="preserve">(2) Das Verfahren richtet sich nach § 145. Der Zweck des Haftbefehls entfällt, wenn der Schuldner die Verpflichtung, deren Befriedigung durch die Abgabe der Vermögensauskunft vorbereitet werden soll, vollständig erfüllt. § 68 findet Anwendung.</w:t>
      </w:r>
    </w:p>
    <w:p>
      <w:r>
        <w:rPr>
          <w:color w:val="555555"/>
          <w:sz w:val="17"/>
        </w:rPr>
        <w:t xml:space="preserve">Zitiervorschlag: § 143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