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137 GVGA (Bayern) — Anschriftenänderung, Rechthilfeersuchen, Erledigung des Rechtshilfeersuchens</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Ist der Schuldner nach der Rückbriefadresse an einen Ort außerhalb des Bezirkes des Gerichtsvollziehers verzogen, kann der Gerichtsvollzieher mangels anderer Anhaltspunkte regelmäßig davon ausgehen, dass der Schuldner bereits bei Auftragseingang an den anderen Ort verzogen war. In diesem Fall hebt er den Termin auf. Ist der Schuldner innerhalb des Amtsgerichtsbezirks in den Bezirk eines anderen Gerichtsvollziehers umgezogen, so gibt er den Auftrag unverzüglich an den zuständigen Gerichtsvollzieher ab. Ist der Schuldner außerhalb des Amtsgerichtsbezirks verzogen, leitet der Gerichtsvollzieher den Auftrag auf Antrag des Gläubigers an das zuständige Amtsgericht weiter und benachrichtigt unverzüglich den Gläubiger. Ist der Wohnsitz oder gewöhnliche Aufenthaltsort nach der Rückbriefadresse unbekannt und hat der Gläubiger für diesen Fall den Gerichtsvollzieher mit der Ermittlung des Aufenthaltsortes des Schuldners beauftragt, führt er zunächst diesen Auftrag aus. Ist ein Auftrag nach § 755 ZPO nicht erteilt oder bleibt die Aufenthaltsermittlung erfolglos, so ist der Auftrag dem Gläubiger mit entsprechender Mitteilung zurückzusenden (§ 20 Absatz 2 Satz 1 Nummer 2 GVO).</w:t>
      </w:r>
    </w:p>
    <w:p>
      <w:r>
        <w:t xml:space="preserve">(2) Ist der Schuldner nach Eingang des Auftrags zur Abnahme der Vermögensauskunft nach Kenntnis des Gerichtsvollziehers an einen Ort außerhalb des Amtsgerichtsbezirks verzogen, ersucht der Gerichtsvollzieher den für den jetzigen Wohnort oder Aufenthaltsort zuständigen Gerichtsvollzieher, den Schuldner im Wege der Rechtshilfe dort zur Abgabe der Vermögensauskunft bei ihm zu laden. Der Gerichtsvollzieher benachrichtigt den Gläubiger formlos von seinem Rechtshilfeersuchen.</w:t>
      </w:r>
    </w:p>
    <w:p>
      <w:r>
        <w:t xml:space="preserve">(3) Nach Abnahme der Vermögensauskunft hat der ersuchte Gerichtsvollzieher die Urschrift des Protokolls und das elektronisch errichtete Vermögensverzeichnis an den ersuchenden Gerichtsvollzieher zu senden. Das Vermögensverzeichnis ist dabei als elektronisches Dokument unter Nutzung des OSCI-Transportprotokolls (zum Beispiel über das Elektronische Gerichts- und Verwaltungspostfach (EGVP)) zu übermitteln. Der Gerichtsvollzieher hinterlegt das Vermögensverzeichnis bei dem zentralen Vollstreckungsgericht und leitet dem Gläubiger unverzüglich nach Eingang der Information des zentralen Vollstreckungsgerichts über die erfolgte Eintragung in das Vermögensregister einen mit einem Übereinstimmungsvermerk versehenen Ausdruck des Vermögensverzeichnisses zu. Er kann auf Antrag des Gläubigers auch nach § 802d Absatz 2 ZPO verfahren.</w:t>
      </w:r>
    </w:p>
    <w:p>
      <w:r>
        <w:t xml:space="preserve">(4) Soweit dem Gerichtsvollzieher nach Ladung und vor dem Termin zur Abnahme der Vermögensauskunft im Einzelfall Mängel in den von Amts wegen zu beachtenden Voraussetzungen bekannt werden, hebt er stets den Termin unter Benachrichtigung von Gläubiger und Schuldner endgültig oder einstweilen auf.</w:t>
      </w:r>
    </w:p>
    <w:p>
      <w:r>
        <w:rPr>
          <w:color w:val="555555"/>
          <w:sz w:val="17"/>
        </w:rPr>
        <w:t xml:space="preserve">Zitiervorschlag: § 137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https://recht.nulegal.eu/gesetze/GVGA/137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