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GVGA (Bayern) — (§§ 96, 214, 216 FamFG, § 1 GewSchG)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gerichtliche Anordnung gemäß § 1 GewSchG ist ein vollstreckbarer Schuldtitel; er muss daher insbesondere auch dem Schuldner vor Beginn der Tätigkeit des Gerichtsvollziehers zugestellt werden, die auf Beseitigung des Widerstandes gerichtet ist. Abweichend von der Regel der §§ 44 und 45 ist die Vollstreckung einer Anordnung des Familiengerichts nach § 1 GewSchG gemäß § 216 Absatz 2 Satz 1 FamFG oder die Vollziehung einer einstweiligen Anordnung des Familiengerichts nach § 214 Absatz 1 Satz 1 FamFG gemäß § 53 Absatz 2 Satz 1 FamFG auch zulässig, bevor die Entscheidung dem Antragsgegner, das heißt dem Schuldner, zugestellt ist, wenn das Gericht dies ausdrücklich angeordnet hat. Der Antrag auf Erlass einer einstweiligen Anordnung gemäß § 214 Absatz 1 Satz 1 FamFG gilt zugleich als Auftrag zur Vollstreckung, wenn die einstweilige Anordnung ohne mündliche Erörterung erlassen wurde. Der Beschluss nach § 214 Absatz 1 FamFG ist von Amts wegen zuzustellen. Mit der Zustellung beauftragt die Geschäftsstelle den Gerichtsvollzieher auf die in § 176 Absatz 1 ZPO bestimmte Weise (vgl. § 15 Absatz 2 Satz 1 FamFG in Verbindung mit § 176 Absatz 1 ZPO). Verlangt der Antragsteller in diesem Fall von dem Gerichtsvollzieher, die Zustellung nicht vor der Vollstreckung durchzuführen, so ist der Gerichtsvollzieher an dieses Verlangen gebunden.</w:t>
      </w:r>
    </w:p>
    <w:p>
      <w:r>
        <w:t xml:space="preserve">(2) Der Gerichtsvollzieher wird zur Beseitigung der Zuwiderhandlung durch den Besitz einer Ausfertigung der gerichtlichen Entscheidung ermächtigt. Er prüft nach deren Inhalt selbstständig, ob und wieweit das Verlangen des Gläubigers gerechtfertigt erscheint. Zuwiderhandlungen des Schuldners muss der Gerichtsvollzieher unter Beachtung des § 758 Absatz 3 und des § 759 ZPO, nötigenfalls mit Gewalt, jedoch unter Vermeidung jeder unnötigen Härte, überwinden.</w:t>
      </w:r>
    </w:p>
    <w:p>
      <w:r>
        <w:rPr>
          <w:color w:val="555555"/>
          <w:sz w:val="17"/>
        </w:rPr>
        <w:t xml:space="preserve">Zitiervorschlag: § 134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