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131 GVGA (Bayern) — Räumung eines zwangsweise versteigerten Grundstücks, Schiffes, Schiffsbauwerks oder Schwimmdocks oder eines unter Zwangsverwaltung gestellten Grundstücks</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Im Fall des § 93 ZVG erfolgt die Räumung im Auftrag des Erstehers nach den Vorschriften der §§ 128 bis 130. Im Hypothekenhaftungsverband befindliche und im Rahmen der Zwangsverwaltung oder Zwangsversteigerung beschlagnahmte Sachen, insbesondere Zubehör gemäß §§ 97 und 98 BGB, sind auf dem Grundstück zu belassen und dem Ersteher zu übergeben. Diese Vorschriften finden im Fall der Räumung eines versteigerten eingetragenen Schiffes, Schiffsbauwerks oder (im Bau befindlichen oder fertig gestellten) Schwimmdocks entsprechende Anwendung.</w:t>
      </w:r>
    </w:p>
    <w:p>
      <w:r>
        <w:t xml:space="preserve">(2) In den Fällen der § 94 Absatz 2 und § 150 Absatz 2 ZVG kann der Gerichtsvollzieher von dem Vollstreckungsgericht beauftragt werden, ein Grundstück dem Zwangsverwalter zu übergeben. Der Gerichtsvollzieher setzt in diesem Fall den Schuldner aus dem Besitz und weist den Zwangsverwalter in den Besitz ein. Er wird zur Vornahme dieser Handlung durch den gerichtlichen Auftrag oder den Auftrag des Zwangsverwalters ermächtigt. Einer Klausel und einer (erneuten) Zustellung dieser Urkunden bedarf es nicht. Der Auftrag ist dem Schuldner oder der an Stelle des Schuldners angetroffenen Person vorzuzeigen und auf Verlangen in Abschrift mitzuteilen. Wohnt der Schuldner auf dem Grundstück, so sind ihm die für seinen Hausstand unentbehrlichen Räume zu belassen, sofern das Vollstreckungsgericht nichts anderes bestimmt hat (§ 149 ZVG).</w:t>
      </w:r>
    </w:p>
    <w:p>
      <w:r>
        <w:rPr>
          <w:color w:val="555555"/>
          <w:sz w:val="17"/>
        </w:rPr>
        <w:t xml:space="preserve">Zitiervorschlag: § 131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https://recht.nulegal.eu/gesetze/GVGA/131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