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GVGA (Bayern) — Besondere Vorschriften über die Räumung von Wohnungen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Anberaumung des Räumungstermins ist schon vor Ablauf der Räumungsfrist zulässig.</w:t>
      </w:r>
    </w:p>
    <w:p>
      <w:r>
        <w:t xml:space="preserve">(2) Während der Geltungsdauer einer einstweiligen Anordnung in Gewaltschutzsachen, soweit Gegenstand des Verfahrens Regelungen aus dem Bereich der Ehewohnungssachen sind, und in Ehewohnungssachen kann der Gerichtsvollzieher den Schuldner mehrfach aus dem Besitz der Wohnung setzen und den Gläubiger in den Besitz der Wohnung einweisen, ohne dass es weiterer Anordnungen oder einer erneuten Zustellung an den inzwischen wieder in die Wohnung eingezogenen Schuldner bedarf (§ 96 Absatz 2 FamFG). Nach jeder Erledigung eines Auftrags ist der Vollstreckungstitel innerhalb seiner Geltungsdauer jeweils dem Gläubiger zurückzugeben, der dem Gerichtsvollzieher durch die erneute Übergabe des Titels einen neuen Auftrag erteilen kann. Im Übrigen ist bei der Vollziehung von Entscheidungen des Familiengerichts in Verfahren nach § 2 GewSchG zur Überlassung einer von Gläubiger (verletzte Person) und Schuldner (Täter) gemeinsam genutzten Wohnung und der in solchen Verfahren erlassenen einstweiligen Anordnungen entsprechend § 134 zu verfahren.</w:t>
      </w:r>
    </w:p>
    <w:p>
      <w:r>
        <w:t xml:space="preserve">(3) Ist zu erwarten, dass der Räumungsschuldner durch Vollstreckung des Räumungstitels obdachlos werden wird, so benachrichtigt der Gerichtsvollzieher unverzüglich die für die Unterbringung von Obdachlosen zuständige Verwaltungsbehörde. Die Befugnis des Gerichtsvollziehers, die Zwangsvollstreckung aufzuschieben, richtet sich nach § 65.</w:t>
      </w:r>
    </w:p>
    <w:p>
      <w:r>
        <w:t xml:space="preserve">(4) Nimmt die für die Unterbringung von Obdachlosen zuständige Behörde die bisherigen Räume des Schuldners ganz oder teilweise für dessen vorläufige Unterbringung auf ihre Kosten in Anspruch, so unterlässt der Gerichtsvollzieher die Zwangsvollstreckung hinsichtlich der in Anspruch genommenen Räume.</w:t>
      </w:r>
    </w:p>
    <w:p>
      <w:r>
        <w:rPr>
          <w:color w:val="555555"/>
          <w:sz w:val="17"/>
        </w:rPr>
        <w:t xml:space="preserve">Zitiervorschlag: § 130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