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GVGA (Bayern) — Vorbereitung der Zustellung</w:t>
      </w:r>
    </w:p>
    <w:p>
      <w:r>
        <w:rPr>
          <w:color w:val="555555"/>
          <w:sz w:val="18"/>
        </w:rPr>
        <w:t xml:space="preserve">Geschäftsanweisung für Gerichtsvollzieher</w:t>
      </w:r>
    </w:p>
    <w:p>
      <w:r>
        <w:rPr>
          <w:color w:val="555555"/>
          <w:sz w:val="18"/>
        </w:rPr>
        <w:t xml:space="preserve">Landesrecht Bayern</w:t>
      </w:r>
    </w:p>
    <w:p>
      <w:r>
        <w:rPr>
          <w:color w:val="555555"/>
          <w:sz w:val="18"/>
        </w:rPr>
        <w:t xml:space="preserve">Stand: 25.08.2026 (konsolidierte Textfassung, kein amtliches Inkrafttretensdatum)</w:t>
      </w:r>
    </w:p>
    <w:p>
      <w:r>
        <w:t xml:space="preserve">Die Zustellung ist mit Sorgfalt vorzubereiten. Der Gerichtsvollzieher prüft dabei auch, ob Schriftstücke unterschrieben und ordnungsgemäß beglaubigte Abschriften in der erforderlichen Zahl vorhanden sind. Reicht der Auftraggeber das zuzustellende Dokument als elektronisches Dokument ein, prüft der Gerichtsvollzieher, ob das Dokument nach Maßgabe des § 130a ZPO wirksam eingegangen ist. Er sorgt dafür, dass Mängel auf dem kürzesten Wege abgestellt werden, möglichst sofort bei Entgegennahme des Auftrags. Soweit es angängig ist, beseitigt er die Mängel selbst.</w:t>
      </w:r>
    </w:p>
    <w:p>
      <w:r>
        <w:rPr>
          <w:color w:val="555555"/>
          <w:sz w:val="17"/>
        </w:rPr>
        <w:t xml:space="preserve">Zitiervorschlag: § 13 GVGA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https://recht.nulegal.eu/gesetze/GVGA/13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