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126 GVGA (Bayern) — Zustellung der Benachrichtigung, dass die Pfändung einer Forderung oder eines Anspruchs bevorsteht (so genannte Vorpfändung)</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Gläubiger kann dem Drittschuldner und dem Schuldner schon vor der Pfändung einer Forderung oder eines Anspruchs die Benachrichtigung, dass die Pfändung bevorsteht, mit den in § 845 ZPO näher bezeichneten Aufforderungen zustellen lassen. Die Benachrichtigung an den Drittschuldner hat zugunsten des Gläubigers die Wirkung eines Arrestes, sofern innerhalb eines Monats seit ihrer Zustellung die angekündigte Pfändung erfolgt.</w:t>
      </w:r>
    </w:p>
    <w:p>
      <w:r>
        <w:t xml:space="preserve">(2) Der Gerichtsvollzieher muss deshalb die Zustellung dieser Benachrichtigung an den Drittschuldner besonders beschleunigen und den Zustellungszeitpunkt (Tag, Stunde, Minute) beurkunden oder veranlassen, dass dies durch den Postbediensteten erfolgt. Stellt er die Benachrichtigung als elektronisches Dokument zu, dient ihm zur Beurkundung die automatisierte Eingangsbestätigung. Auf die Zustellung finden die Vorschriften des § 121 Absatz 1 und 3 bis 5 entsprechende Anwendung. Der Gerichtsvollzieher hat nicht zu prüfen, ob dem Gläubiger eine vollstreckbare Ausfertigung erteilt und ob der Schuldtitel bereits zugestellt ist.</w:t>
      </w:r>
    </w:p>
    <w:p>
      <w:r>
        <w:t xml:space="preserve">(3) Der Gerichtsvollzieher hat die Benachrichtigung mit den Aufforderungen selbst anzufertigen, wenn er von dem Gläubiger hierzu ausdrücklich beauftragt worden ist. Dies gilt nicht für die Vorpfändung von Vermögensrechten im Sinne des § 857 ZPO (vergleiche § 857 Absatz 7 ZPO). In diesem Fall hat der Gerichtsvollzieher zu prüfen, ob der Gläubiger einen vollstreckbaren Schuldtitel erwirkt hat und ob die Voraussetzungen der §§ 711, 712, 720a, 751, 752, 756, 795, 930 ZPO vorliegen. Der Gerichtsvollzieher hat die vorzupfändende Forderung nach Gläubiger, Schuldner und Rechtsgrund in der Benachrichtigung möglichst so genau zu bezeichnen, dass über die Identität der Forderung kein Zweifel bestehen kann.</w:t>
      </w:r>
    </w:p>
    <w:p>
      <w:r>
        <w:t xml:space="preserve">(4) Stellt der Gerichtsvollzieher lediglich eine vom Gläubiger selbst angefertigte Benachrichtigung zu, so obliegt ihm nicht die Prüfungspflicht nach Absatz 3 Satz 3. In diesem Fall wirkt er bei der Vorpfändung nur als Zustellungsorgan mit.</w:t>
      </w:r>
    </w:p>
    <w:p>
      <w:r>
        <w:rPr>
          <w:color w:val="555555"/>
          <w:sz w:val="17"/>
        </w:rPr>
        <w:t xml:space="preserve">Zitiervorschlag: § 126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