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GVGA (Bayern) — Zwangsvollstreckung in Ansprüche auf Herausgabe oder Leistung von unbeweglichen Sachen und eingetragenen Schiffen, Schiffsbauwerken, Schwimmdocks, inländischen Luftfahrzeugen, die in der Luftfahrzeugrolle eingetragen sind, sowie ausländischen Luftfahrzeugen (§§ 846, 847a, 848 ZPO; § 99 Absatz 1, § 106 Absatz 1 Nummer 1 LuftFzgG)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Zwangsvollstreckung in Ansprüche auf Herausgabe oder Leistung folgender Gegenstände:</w:t>
      </w:r>
    </w:p>
    <w:p>
      <w:r>
        <w:t xml:space="preserve">1. unbewegliche Sachen,</w:t>
      </w:r>
    </w:p>
    <w:p>
      <w:r>
        <w:t xml:space="preserve">2. eingetragene Schiffe,</w:t>
      </w:r>
    </w:p>
    <w:p>
      <w:r>
        <w:t xml:space="preserve">3. eingetragene und eintragungsfähige Schiffsbauwerke und im Bau befindliche oder fertig gestellte Schwimmdocks,</w:t>
      </w:r>
    </w:p>
    <w:p>
      <w:r>
        <w:t xml:space="preserve">4. inländische Luftfahrzeuge, die in der Luftfahrzeugrolle oder im Register für Pfandrechte an Luftfahrzeugen eingetragen sind,</w:t>
      </w:r>
    </w:p>
    <w:p>
      <w:r>
        <w:t xml:space="preserve">5. ausländische Luftfahrzeuge,</w:t>
      </w:r>
    </w:p>
    <w:p>
      <w:r>
        <w:t xml:space="preserve">erfolgt gleichfalls durch Zustellung eines gerichtlichen Pfändungsbeschlusses. Für die Zustellung gelten die Bestimmungen in § 121 entsprechend (§ 846 ZPO). Die unbewegliche Sache wird an einen von dem Amtsgericht der belegenen Sache zu bestellenden Sequester, das Schiff, Schiffsbauwerk, im Bau befindliche oder fertig gestellte Schwimmdock oder Luftfahrzeug an einen vom Vollstreckungsgericht zu bestellenden Treuhänder herausgegeben (§ 847a ZPO in Verbindung mit Artikel 3 des Gesetzes zur Änderung des Gesetzes über Rechte an eingetragenen Schiffen und Schiffsbauwerken, der Schiffsregisterordnung und des Gesetzes über die Zwangsversteigerung und die Zwangsverwaltung (SchRGÄndG), §§ 848, 855, 855a ZPO; § 99 Absatz 1, § 106 Absatz 1 Nummer 1 LuftFzgG).</w:t>
      </w:r>
    </w:p>
    <w:p>
      <w:r>
        <w:rPr>
          <w:color w:val="555555"/>
          <w:sz w:val="17"/>
        </w:rPr>
        <w:t xml:space="preserve">Zitiervorschlag: § 125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