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GVGA (Bayern) — Zwangsvollstreckung in Ansprüche auf Herausgabe oder Leistung von beweglichen körperlichen Sachen (§§ 846 bis 849, 854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Zwangsvollstreckung in Ansprüche des Schuldners, auf Grund deren der Drittschuldner bewegliche körperliche Sachen herauszugeben oder zu leisten hat, erfolgt die Pfändung nach den Vorschriften über die Pfändung von Geldforderungen, also regelmäßig durch die Zustellung eines gerichtlichen Pfändungsbeschlusses. Eine Ausnahme gilt, wenn die Forderung in einem indossablen Papier verbrieft ist (zum Beispiel bei kaufmännischen Anweisungen über die Leistung von Wertpapieren oder anderen vertretbaren Sachen, bei Lagerscheinen, Ladescheinen und Konnossementen); in diesen Fällen geschieht die Pfändung dadurch, dass der Gerichtsvollzieher das Papier in Besitz nimmt. In dem gerichtlichen Pfändungsbeschluss oder im Fall des § 123 durch einen besonderen Beschluss wird angeordnet, dass die geschuldeten Sachen an einen von dem Gläubiger zu beauftragenden Gerichtsvollzieher herauszugeben sind (§ 847 ZPO).</w:t>
      </w:r>
    </w:p>
    <w:p>
      <w:r>
        <w:t xml:space="preserve">(2) Der Pfändungsbeschluss als solcher ermächtigt jedoch den Gerichtsvollzieher nicht, die Herausgabe der Sachen gegen den Willen des Drittschuldners zu erzwingen. Verweigert der Drittschuldner die Herausgabe, so muss sich der Gläubiger den Anspruch zur Einziehung überweisen lassen und dann Klage gegen den Drittschuldner erheben. Der Gerichtsvollzieher beurkundet deshalb in diesem Fall die Weigerung des Drittschuldners und überlässt das Weitere dem Gläubiger.</w:t>
      </w:r>
    </w:p>
    <w:p>
      <w:r>
        <w:t xml:space="preserve">(3) Ist dagegen der Drittschuldner zur Herausgabe oder zur Leistung bereit, so nimmt der Gerichtsvollzieher, dessen Ermächtigung durch den Besitz des Schuldtitels und einer Ausfertigung des Beschlusses dargetan wird, die Sache beim Drittschuldner gegen Quittung oder gegen Herausgabe des indossablen Papiers in Empfang. In dem aufzunehmenden Protokoll bezeichnet er die Sache. Das weitere Verfahren wegen Unterbringung und Verwertung der übernommenen Sache richtet sich nach den Vorschriften, die für die Verwertung gepfändeter Sachen gelten (§ 847 Absatz 2 ZPO). Durch die Herausgabe des Gegenstands seitens des Drittschuldners geht das Pfandrecht, das durch die Pfändung des Anspruchs begründet worden ist, ohne neue Pfändung in ein Pfandrecht an der Sache selbst über.</w:t>
      </w:r>
    </w:p>
    <w:p>
      <w:r>
        <w:t xml:space="preserve">(4) Von der Übernahme und von dem anberaumten Versteigerungstermin sind der Schuldner und der Gläubiger zu benachrichtigen.</w:t>
      </w:r>
    </w:p>
    <w:p>
      <w:r>
        <w:t xml:space="preserve">(5) Hat der Gläubiger gegen den Drittschuldner einen vollstreckbaren Titel erlangt, nach dessen Inhalt der Drittschuldner die Sache zum Zweck der Zwangsvollstreckung an einen Gerichtsvollzieher herauszugeben hat, so nimmt der Gerichtsvollzieher die Sache dem Drittschuldner auf Grund dieses Titels nach den Vorschriften über die Zwangsvollstreckung zur Erwirkung der Herausgabe von Sachen weg und verwertet sie.</w:t>
      </w:r>
    </w:p>
    <w:p>
      <w:r>
        <w:t xml:space="preserve">(6) Das Verfahren bei einer Pfändung desselben Anspruchs für mehrere Gläubiger ist in § 854 ZPO näher geregelt. Für die Reihenfolge der Pfändungen ist die Zeit entscheidend, zu der die einzelnen Pfändungsbeschlüsse dem Drittschuldner zugestellt sind.</w:t>
      </w:r>
    </w:p>
    <w:p>
      <w:r>
        <w:t xml:space="preserve">(7) Liegt der Antrag eines anderen Gläubigers zur Pfändung der an den Gerichtsvollzieher herauszugebenden Sachen vor, so sind die Sachen bei der Übernahme gleichzeitig zu pfänden.</w:t>
      </w:r>
    </w:p>
    <w:p>
      <w:r>
        <w:rPr>
          <w:color w:val="555555"/>
          <w:sz w:val="17"/>
        </w:rPr>
        <w:t xml:space="preserve">Zitiervorschlag: § 124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